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6D163" w14:textId="17DA8C82" w:rsidR="000641B9" w:rsidRPr="0027410A" w:rsidRDefault="00DE1733" w:rsidP="00AB4DDD">
      <w:pPr>
        <w:pStyle w:val="Title"/>
        <w:rPr>
          <w:color w:val="143376" w:themeColor="accent1"/>
        </w:rPr>
      </w:pPr>
      <w:bookmarkStart w:id="0" w:name="_Hlk194915058"/>
      <w:bookmarkStart w:id="1" w:name="_Toc333491794"/>
      <w:r>
        <w:rPr>
          <w:color w:val="143376" w:themeColor="accent1"/>
        </w:rPr>
        <w:t>Design Considerations for a Multi-Year Rate Plan Framework in Virgina</w:t>
      </w:r>
    </w:p>
    <w:bookmarkEnd w:id="0"/>
    <w:p w14:paraId="63013734" w14:textId="77777777" w:rsidR="00D26961" w:rsidRPr="006F0579" w:rsidRDefault="00D26961" w:rsidP="00672E38">
      <w:pPr>
        <w:pStyle w:val="Default"/>
        <w:pBdr>
          <w:top w:val="single" w:sz="4" w:space="1" w:color="2D3991"/>
        </w:pBdr>
        <w:ind w:left="1627" w:right="1260"/>
        <w:rPr>
          <w:sz w:val="18"/>
          <w:szCs w:val="26"/>
        </w:rPr>
      </w:pPr>
    </w:p>
    <w:p w14:paraId="40AFB622" w14:textId="145ABD2E" w:rsidR="00A9508E" w:rsidRPr="00AB4DDD" w:rsidRDefault="00DE1733" w:rsidP="00AB4DDD">
      <w:pPr>
        <w:pStyle w:val="Clientname"/>
      </w:pPr>
      <w:r>
        <w:t xml:space="preserve">Clean Virgina </w:t>
      </w:r>
    </w:p>
    <w:p w14:paraId="2FEB13F0" w14:textId="5554DFA7" w:rsidR="00D26961" w:rsidRPr="00AB4DDD" w:rsidRDefault="00DE1733" w:rsidP="00AB4DDD">
      <w:pPr>
        <w:pStyle w:val="CoverDate"/>
      </w:pPr>
      <w:r w:rsidRPr="008E6EED">
        <w:t xml:space="preserve">April </w:t>
      </w:r>
      <w:r w:rsidR="008E6EED" w:rsidRPr="008E6EED">
        <w:t>22</w:t>
      </w:r>
      <w:r w:rsidRPr="008E6EED">
        <w:t>, 2025</w:t>
      </w:r>
    </w:p>
    <w:p w14:paraId="6868B301" w14:textId="77777777" w:rsidR="00D26961" w:rsidRDefault="00D26961" w:rsidP="000C543A">
      <w:pPr>
        <w:pStyle w:val="Default"/>
        <w:ind w:left="1620"/>
        <w:rPr>
          <w:color w:val="555555"/>
          <w:sz w:val="22"/>
          <w:szCs w:val="22"/>
        </w:rPr>
      </w:pPr>
    </w:p>
    <w:p w14:paraId="13A81EE2" w14:textId="77777777" w:rsidR="006F0579" w:rsidRPr="006F0579" w:rsidRDefault="006F0579" w:rsidP="000C543A">
      <w:pPr>
        <w:pStyle w:val="Default"/>
        <w:ind w:left="1620"/>
        <w:rPr>
          <w:color w:val="555555"/>
          <w:sz w:val="22"/>
          <w:szCs w:val="22"/>
        </w:rPr>
      </w:pPr>
    </w:p>
    <w:p w14:paraId="33B57EB2" w14:textId="77777777" w:rsidR="00A9508E" w:rsidRPr="00F049F4" w:rsidRDefault="00D26961" w:rsidP="00F049F4">
      <w:pPr>
        <w:pStyle w:val="CoverAuthors"/>
        <w:spacing w:after="240"/>
        <w:rPr>
          <w:sz w:val="26"/>
          <w:szCs w:val="26"/>
        </w:rPr>
      </w:pPr>
      <w:r w:rsidRPr="00F049F4">
        <w:rPr>
          <w:sz w:val="26"/>
          <w:szCs w:val="26"/>
        </w:rPr>
        <w:t>AUTHORS</w:t>
      </w:r>
    </w:p>
    <w:p w14:paraId="1FB831F9" w14:textId="77777777" w:rsidR="00DE1733" w:rsidRDefault="00DE1733" w:rsidP="00F049F4">
      <w:pPr>
        <w:pStyle w:val="CoverAuthors"/>
      </w:pPr>
      <w:r>
        <w:t>Courtney Lane</w:t>
      </w:r>
    </w:p>
    <w:p w14:paraId="457BE3F0" w14:textId="77777777" w:rsidR="00DE1733" w:rsidRDefault="00DE1733" w:rsidP="00F049F4">
      <w:pPr>
        <w:pStyle w:val="CoverAuthors"/>
      </w:pPr>
      <w:r>
        <w:t>Melissa Whited</w:t>
      </w:r>
    </w:p>
    <w:p w14:paraId="54CA4E27" w14:textId="05D1E773" w:rsidR="00D26961" w:rsidRPr="00F049F4" w:rsidRDefault="00DE1733" w:rsidP="00F049F4">
      <w:pPr>
        <w:pStyle w:val="CoverAuthors"/>
      </w:pPr>
      <w:r w:rsidRPr="00DE1733">
        <w:t>Aidan Glaser Schof</w:t>
      </w:r>
      <w:r>
        <w:t>f</w:t>
      </w:r>
      <w:r w:rsidR="009649DF" w:rsidRPr="00F049F4">
        <w:tab/>
      </w:r>
    </w:p>
    <w:p w14:paraId="73DCE42F" w14:textId="0C68537F" w:rsidR="00F4779C" w:rsidRDefault="00DE1733" w:rsidP="00F049F4">
      <w:pPr>
        <w:pStyle w:val="CoverAuthors"/>
      </w:pPr>
      <w:r w:rsidRPr="00DE1733">
        <w:t>Wooddynne Dejeanlouis</w:t>
      </w:r>
      <w:r>
        <w:t xml:space="preserve"> </w:t>
      </w:r>
    </w:p>
    <w:p w14:paraId="155AB2D0" w14:textId="77777777" w:rsidR="00AB4DDD" w:rsidRPr="00672E38" w:rsidRDefault="00AB4DDD" w:rsidP="00F049F4">
      <w:pPr>
        <w:pStyle w:val="CoverAuthors"/>
      </w:pPr>
    </w:p>
    <w:p w14:paraId="636C6687" w14:textId="4E454307" w:rsidR="00AB4DDD" w:rsidRDefault="00AB4DDD">
      <w:pPr>
        <w:rPr>
          <w:sz w:val="20"/>
        </w:rPr>
      </w:pPr>
      <w:r>
        <w:rPr>
          <w:sz w:val="20"/>
        </w:rPr>
        <w:br w:type="page"/>
      </w:r>
    </w:p>
    <w:p w14:paraId="52294B78" w14:textId="77777777" w:rsidR="00AB4DDD" w:rsidRDefault="00AB4DDD" w:rsidP="00D32C3E">
      <w:pPr>
        <w:ind w:left="1440" w:right="900"/>
        <w:rPr>
          <w:sz w:val="20"/>
        </w:rPr>
        <w:sectPr w:rsidR="00AB4DDD" w:rsidSect="007A56E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0"/>
          <w:cols w:space="720"/>
          <w:titlePg/>
          <w:docGrid w:linePitch="360"/>
        </w:sectPr>
      </w:pPr>
    </w:p>
    <w:sdt>
      <w:sdtPr>
        <w:rPr>
          <w:rFonts w:eastAsiaTheme="minorEastAsia" w:cstheme="minorBidi"/>
          <w:b w:val="0"/>
          <w:smallCaps w:val="0"/>
          <w:spacing w:val="0"/>
          <w:kern w:val="0"/>
          <w:sz w:val="24"/>
          <w:szCs w:val="24"/>
          <w:lang w:eastAsia="en-US"/>
        </w:rPr>
        <w:id w:val="-1298607858"/>
        <w:docPartObj>
          <w:docPartGallery w:val="Table of Contents"/>
          <w:docPartUnique/>
        </w:docPartObj>
      </w:sdtPr>
      <w:sdtEndPr>
        <w:rPr>
          <w:noProof/>
          <w:sz w:val="22"/>
          <w:szCs w:val="22"/>
        </w:rPr>
      </w:sdtEndPr>
      <w:sdtContent>
        <w:p w14:paraId="32DA28F6" w14:textId="77777777" w:rsidR="00B80EA2" w:rsidRDefault="00B80EA2" w:rsidP="00C91147">
          <w:pPr>
            <w:pStyle w:val="TOCHeading"/>
          </w:pPr>
          <w:r>
            <w:t>Contents</w:t>
          </w:r>
        </w:p>
        <w:p w14:paraId="20D163F7" w14:textId="3C908434" w:rsidR="0047172E" w:rsidRDefault="00306057">
          <w:pPr>
            <w:pStyle w:val="TOC1"/>
            <w:rPr>
              <w:rFonts w:asciiTheme="minorHAnsi" w:eastAsiaTheme="minorEastAsia" w:hAnsiTheme="minorHAnsi" w:cstheme="minorBidi"/>
              <w:b w:val="0"/>
              <w:smallCaps w:val="0"/>
              <w:kern w:val="2"/>
              <w:sz w:val="24"/>
              <w:szCs w:val="24"/>
              <w14:ligatures w14:val="standardContextual"/>
            </w:rPr>
          </w:pPr>
          <w:r>
            <w:rPr>
              <w:b w:val="0"/>
              <w:smallCaps w:val="0"/>
            </w:rPr>
            <w:fldChar w:fldCharType="begin"/>
          </w:r>
          <w:r>
            <w:rPr>
              <w:b w:val="0"/>
              <w:smallCaps w:val="0"/>
            </w:rPr>
            <w:instrText xml:space="preserve"> TOC \o "1-2" \u \t "Heading 7,1" </w:instrText>
          </w:r>
          <w:r>
            <w:rPr>
              <w:b w:val="0"/>
              <w:smallCaps w:val="0"/>
            </w:rPr>
            <w:fldChar w:fldCharType="separate"/>
          </w:r>
          <w:r w:rsidR="0047172E">
            <w:t>1.</w:t>
          </w:r>
          <w:r w:rsidR="0047172E">
            <w:rPr>
              <w:rFonts w:asciiTheme="minorHAnsi" w:eastAsiaTheme="minorEastAsia" w:hAnsiTheme="minorHAnsi" w:cstheme="minorBidi"/>
              <w:b w:val="0"/>
              <w:smallCaps w:val="0"/>
              <w:kern w:val="2"/>
              <w:sz w:val="24"/>
              <w:szCs w:val="24"/>
              <w14:ligatures w14:val="standardContextual"/>
            </w:rPr>
            <w:tab/>
          </w:r>
          <w:r w:rsidR="0047172E">
            <w:t>Introduction</w:t>
          </w:r>
          <w:r w:rsidR="0047172E">
            <w:tab/>
          </w:r>
          <w:r w:rsidR="0047172E">
            <w:fldChar w:fldCharType="begin"/>
          </w:r>
          <w:r w:rsidR="0047172E">
            <w:instrText xml:space="preserve"> PAGEREF _Toc195890681 \h </w:instrText>
          </w:r>
          <w:r w:rsidR="0047172E">
            <w:fldChar w:fldCharType="separate"/>
          </w:r>
          <w:r w:rsidR="0047172E">
            <w:t>1</w:t>
          </w:r>
          <w:r w:rsidR="0047172E">
            <w:fldChar w:fldCharType="end"/>
          </w:r>
        </w:p>
        <w:p w14:paraId="1BF4D073" w14:textId="76F4F427" w:rsidR="0047172E" w:rsidRDefault="0047172E">
          <w:pPr>
            <w:pStyle w:val="TOC1"/>
            <w:rPr>
              <w:rFonts w:asciiTheme="minorHAnsi" w:eastAsiaTheme="minorEastAsia" w:hAnsiTheme="minorHAnsi" w:cstheme="minorBidi"/>
              <w:b w:val="0"/>
              <w:smallCaps w:val="0"/>
              <w:kern w:val="2"/>
              <w:sz w:val="24"/>
              <w:szCs w:val="24"/>
              <w14:ligatures w14:val="standardContextual"/>
            </w:rPr>
          </w:pPr>
          <w:r>
            <w:t>2.</w:t>
          </w:r>
          <w:r>
            <w:rPr>
              <w:rFonts w:asciiTheme="minorHAnsi" w:eastAsiaTheme="minorEastAsia" w:hAnsiTheme="minorHAnsi" w:cstheme="minorBidi"/>
              <w:b w:val="0"/>
              <w:smallCaps w:val="0"/>
              <w:kern w:val="2"/>
              <w:sz w:val="24"/>
              <w:szCs w:val="24"/>
              <w14:ligatures w14:val="standardContextual"/>
            </w:rPr>
            <w:tab/>
          </w:r>
          <w:r>
            <w:t>Overview of current regulatory framework</w:t>
          </w:r>
          <w:r>
            <w:tab/>
          </w:r>
          <w:r>
            <w:fldChar w:fldCharType="begin"/>
          </w:r>
          <w:r>
            <w:instrText xml:space="preserve"> PAGEREF _Toc195890682 \h </w:instrText>
          </w:r>
          <w:r>
            <w:fldChar w:fldCharType="separate"/>
          </w:r>
          <w:r>
            <w:t>1</w:t>
          </w:r>
          <w:r>
            <w:fldChar w:fldCharType="end"/>
          </w:r>
        </w:p>
        <w:p w14:paraId="19ED9DD4" w14:textId="69B2747E" w:rsidR="0047172E" w:rsidRDefault="0047172E">
          <w:pPr>
            <w:pStyle w:val="TOC1"/>
            <w:rPr>
              <w:rFonts w:asciiTheme="minorHAnsi" w:eastAsiaTheme="minorEastAsia" w:hAnsiTheme="minorHAnsi" w:cstheme="minorBidi"/>
              <w:b w:val="0"/>
              <w:smallCaps w:val="0"/>
              <w:kern w:val="2"/>
              <w:sz w:val="24"/>
              <w:szCs w:val="24"/>
              <w14:ligatures w14:val="standardContextual"/>
            </w:rPr>
          </w:pPr>
          <w:r>
            <w:t>3.</w:t>
          </w:r>
          <w:r>
            <w:rPr>
              <w:rFonts w:asciiTheme="minorHAnsi" w:eastAsiaTheme="minorEastAsia" w:hAnsiTheme="minorHAnsi" w:cstheme="minorBidi"/>
              <w:b w:val="0"/>
              <w:smallCaps w:val="0"/>
              <w:kern w:val="2"/>
              <w:sz w:val="24"/>
              <w:szCs w:val="24"/>
              <w14:ligatures w14:val="standardContextual"/>
            </w:rPr>
            <w:tab/>
          </w:r>
          <w:r>
            <w:t>Potential benefits and drawbacks of MRPs in Virgina</w:t>
          </w:r>
          <w:r>
            <w:tab/>
          </w:r>
          <w:r>
            <w:fldChar w:fldCharType="begin"/>
          </w:r>
          <w:r>
            <w:instrText xml:space="preserve"> PAGEREF _Toc195890683 \h </w:instrText>
          </w:r>
          <w:r>
            <w:fldChar w:fldCharType="separate"/>
          </w:r>
          <w:r>
            <w:t>3</w:t>
          </w:r>
          <w:r>
            <w:fldChar w:fldCharType="end"/>
          </w:r>
        </w:p>
        <w:p w14:paraId="4BCC7D85" w14:textId="462E9AA2" w:rsidR="0047172E" w:rsidRDefault="0047172E">
          <w:pPr>
            <w:pStyle w:val="TOC2"/>
            <w:rPr>
              <w:rFonts w:asciiTheme="minorHAnsi" w:eastAsiaTheme="minorEastAsia" w:hAnsiTheme="minorHAnsi"/>
              <w:b w:val="0"/>
              <w:noProof/>
              <w:kern w:val="2"/>
              <w:sz w:val="24"/>
              <w:szCs w:val="24"/>
              <w14:ligatures w14:val="standardContextual"/>
            </w:rPr>
          </w:pPr>
          <w:r>
            <w:rPr>
              <w:noProof/>
            </w:rPr>
            <w:t>3.1.</w:t>
          </w:r>
          <w:r>
            <w:rPr>
              <w:rFonts w:asciiTheme="minorHAnsi" w:eastAsiaTheme="minorEastAsia" w:hAnsiTheme="minorHAnsi"/>
              <w:b w:val="0"/>
              <w:noProof/>
              <w:kern w:val="2"/>
              <w:sz w:val="24"/>
              <w:szCs w:val="24"/>
              <w14:ligatures w14:val="standardContextual"/>
            </w:rPr>
            <w:tab/>
          </w:r>
          <w:r>
            <w:rPr>
              <w:noProof/>
            </w:rPr>
            <w:t>Overview of the potential benefits and risks of MRPs</w:t>
          </w:r>
          <w:r>
            <w:rPr>
              <w:noProof/>
            </w:rPr>
            <w:tab/>
          </w:r>
          <w:r>
            <w:rPr>
              <w:noProof/>
            </w:rPr>
            <w:fldChar w:fldCharType="begin"/>
          </w:r>
          <w:r>
            <w:rPr>
              <w:noProof/>
            </w:rPr>
            <w:instrText xml:space="preserve"> PAGEREF _Toc195890684 \h </w:instrText>
          </w:r>
          <w:r>
            <w:rPr>
              <w:noProof/>
            </w:rPr>
          </w:r>
          <w:r>
            <w:rPr>
              <w:noProof/>
            </w:rPr>
            <w:fldChar w:fldCharType="separate"/>
          </w:r>
          <w:r>
            <w:rPr>
              <w:noProof/>
            </w:rPr>
            <w:t>3</w:t>
          </w:r>
          <w:r>
            <w:rPr>
              <w:noProof/>
            </w:rPr>
            <w:fldChar w:fldCharType="end"/>
          </w:r>
        </w:p>
        <w:p w14:paraId="7EF8374C" w14:textId="6E4B2807" w:rsidR="0047172E" w:rsidRDefault="0047172E">
          <w:pPr>
            <w:pStyle w:val="TOC2"/>
            <w:rPr>
              <w:rFonts w:asciiTheme="minorHAnsi" w:eastAsiaTheme="minorEastAsia" w:hAnsiTheme="minorHAnsi"/>
              <w:b w:val="0"/>
              <w:noProof/>
              <w:kern w:val="2"/>
              <w:sz w:val="24"/>
              <w:szCs w:val="24"/>
              <w14:ligatures w14:val="standardContextual"/>
            </w:rPr>
          </w:pPr>
          <w:r>
            <w:rPr>
              <w:noProof/>
            </w:rPr>
            <w:t>3.2.</w:t>
          </w:r>
          <w:r>
            <w:rPr>
              <w:rFonts w:asciiTheme="minorHAnsi" w:eastAsiaTheme="minorEastAsia" w:hAnsiTheme="minorHAnsi"/>
              <w:b w:val="0"/>
              <w:noProof/>
              <w:kern w:val="2"/>
              <w:sz w:val="24"/>
              <w:szCs w:val="24"/>
              <w14:ligatures w14:val="standardContextual"/>
            </w:rPr>
            <w:tab/>
          </w:r>
          <w:r>
            <w:rPr>
              <w:noProof/>
            </w:rPr>
            <w:t>MRP design choices for Virgina</w:t>
          </w:r>
          <w:r>
            <w:rPr>
              <w:noProof/>
            </w:rPr>
            <w:tab/>
          </w:r>
          <w:r>
            <w:rPr>
              <w:noProof/>
            </w:rPr>
            <w:fldChar w:fldCharType="begin"/>
          </w:r>
          <w:r>
            <w:rPr>
              <w:noProof/>
            </w:rPr>
            <w:instrText xml:space="preserve"> PAGEREF _Toc195890685 \h </w:instrText>
          </w:r>
          <w:r>
            <w:rPr>
              <w:noProof/>
            </w:rPr>
          </w:r>
          <w:r>
            <w:rPr>
              <w:noProof/>
            </w:rPr>
            <w:fldChar w:fldCharType="separate"/>
          </w:r>
          <w:r>
            <w:rPr>
              <w:noProof/>
            </w:rPr>
            <w:t>5</w:t>
          </w:r>
          <w:r>
            <w:rPr>
              <w:noProof/>
            </w:rPr>
            <w:fldChar w:fldCharType="end"/>
          </w:r>
        </w:p>
        <w:p w14:paraId="136E529A" w14:textId="642A4ABA" w:rsidR="0047172E" w:rsidRDefault="0047172E">
          <w:pPr>
            <w:pStyle w:val="TOC2"/>
            <w:rPr>
              <w:rFonts w:asciiTheme="minorHAnsi" w:eastAsiaTheme="minorEastAsia" w:hAnsiTheme="minorHAnsi"/>
              <w:b w:val="0"/>
              <w:noProof/>
              <w:kern w:val="2"/>
              <w:sz w:val="24"/>
              <w:szCs w:val="24"/>
              <w14:ligatures w14:val="standardContextual"/>
            </w:rPr>
          </w:pPr>
          <w:r>
            <w:rPr>
              <w:noProof/>
            </w:rPr>
            <w:t>3.3.</w:t>
          </w:r>
          <w:r>
            <w:rPr>
              <w:rFonts w:asciiTheme="minorHAnsi" w:eastAsiaTheme="minorEastAsia" w:hAnsiTheme="minorHAnsi"/>
              <w:b w:val="0"/>
              <w:noProof/>
              <w:kern w:val="2"/>
              <w:sz w:val="24"/>
              <w:szCs w:val="24"/>
              <w14:ligatures w14:val="standardContextual"/>
            </w:rPr>
            <w:tab/>
          </w:r>
          <w:r>
            <w:rPr>
              <w:noProof/>
            </w:rPr>
            <w:t>Evaluating MRP proposals</w:t>
          </w:r>
          <w:r>
            <w:rPr>
              <w:noProof/>
            </w:rPr>
            <w:tab/>
          </w:r>
          <w:r>
            <w:rPr>
              <w:noProof/>
            </w:rPr>
            <w:fldChar w:fldCharType="begin"/>
          </w:r>
          <w:r>
            <w:rPr>
              <w:noProof/>
            </w:rPr>
            <w:instrText xml:space="preserve"> PAGEREF _Toc195890686 \h </w:instrText>
          </w:r>
          <w:r>
            <w:rPr>
              <w:noProof/>
            </w:rPr>
          </w:r>
          <w:r>
            <w:rPr>
              <w:noProof/>
            </w:rPr>
            <w:fldChar w:fldCharType="separate"/>
          </w:r>
          <w:r>
            <w:rPr>
              <w:noProof/>
            </w:rPr>
            <w:t>16</w:t>
          </w:r>
          <w:r>
            <w:rPr>
              <w:noProof/>
            </w:rPr>
            <w:fldChar w:fldCharType="end"/>
          </w:r>
        </w:p>
        <w:p w14:paraId="0A639851" w14:textId="0CC54A82" w:rsidR="0047172E" w:rsidRDefault="0047172E">
          <w:pPr>
            <w:pStyle w:val="TOC1"/>
            <w:rPr>
              <w:rFonts w:asciiTheme="minorHAnsi" w:eastAsiaTheme="minorEastAsia" w:hAnsiTheme="minorHAnsi" w:cstheme="minorBidi"/>
              <w:b w:val="0"/>
              <w:smallCaps w:val="0"/>
              <w:kern w:val="2"/>
              <w:sz w:val="24"/>
              <w:szCs w:val="24"/>
              <w14:ligatures w14:val="standardContextual"/>
            </w:rPr>
          </w:pPr>
          <w:r>
            <w:t>4.</w:t>
          </w:r>
          <w:r>
            <w:rPr>
              <w:rFonts w:asciiTheme="minorHAnsi" w:eastAsiaTheme="minorEastAsia" w:hAnsiTheme="minorHAnsi" w:cstheme="minorBidi"/>
              <w:b w:val="0"/>
              <w:smallCaps w:val="0"/>
              <w:kern w:val="2"/>
              <w:sz w:val="24"/>
              <w:szCs w:val="24"/>
              <w14:ligatures w14:val="standardContextual"/>
            </w:rPr>
            <w:tab/>
          </w:r>
          <w:r>
            <w:t>Conclusion</w:t>
          </w:r>
          <w:r>
            <w:tab/>
          </w:r>
          <w:r>
            <w:fldChar w:fldCharType="begin"/>
          </w:r>
          <w:r>
            <w:instrText xml:space="preserve"> PAGEREF _Toc195890687 \h </w:instrText>
          </w:r>
          <w:r>
            <w:fldChar w:fldCharType="separate"/>
          </w:r>
          <w:r>
            <w:t>17</w:t>
          </w:r>
          <w:r>
            <w:fldChar w:fldCharType="end"/>
          </w:r>
        </w:p>
        <w:p w14:paraId="2480C354" w14:textId="29D72203" w:rsidR="00AB4DDD" w:rsidRDefault="00306057" w:rsidP="00AB4DDD">
          <w:pPr>
            <w:sectPr w:rsidR="00AB4DDD" w:rsidSect="00AB4DDD">
              <w:footerReference w:type="first" r:id="rId18"/>
              <w:pgSz w:w="12240" w:h="15840"/>
              <w:pgMar w:top="1440" w:right="1440" w:bottom="1440" w:left="1440" w:header="720" w:footer="720" w:gutter="0"/>
              <w:pgNumType w:fmt="lowerRoman" w:start="1"/>
              <w:cols w:space="720"/>
              <w:titlePg/>
              <w:docGrid w:linePitch="360"/>
            </w:sectPr>
          </w:pPr>
          <w:r>
            <w:rPr>
              <w:rFonts w:cs="Arial"/>
              <w:b/>
              <w:smallCaps/>
              <w:noProof/>
              <w:sz w:val="28"/>
              <w:szCs w:val="28"/>
            </w:rPr>
            <w:fldChar w:fldCharType="end"/>
          </w:r>
        </w:p>
      </w:sdtContent>
    </w:sdt>
    <w:bookmarkStart w:id="2" w:name="_Toc333491935" w:displacedByCustomXml="prev"/>
    <w:p w14:paraId="45463D81" w14:textId="703555EF" w:rsidR="00DE1733" w:rsidRPr="00DE1733" w:rsidRDefault="00DE1733" w:rsidP="00DE1733">
      <w:pPr>
        <w:pStyle w:val="Heading1"/>
      </w:pPr>
      <w:bookmarkStart w:id="3" w:name="_Toc195890681"/>
      <w:r>
        <w:lastRenderedPageBreak/>
        <w:t>Introduction</w:t>
      </w:r>
      <w:bookmarkEnd w:id="3"/>
      <w:r>
        <w:t xml:space="preserve"> </w:t>
      </w:r>
    </w:p>
    <w:p w14:paraId="281729EA" w14:textId="776B286F" w:rsidR="00FE48DF" w:rsidRDefault="00780AA3" w:rsidP="00FE48DF">
      <w:r>
        <w:t>House Joint Resolution No. 30 and Senate Joint Resolution No. 47 directed t</w:t>
      </w:r>
      <w:r w:rsidR="00FE48DF">
        <w:t xml:space="preserve">he State Corporation Commission (Commission) </w:t>
      </w:r>
      <w:r>
        <w:t xml:space="preserve">in collaboration with the Virginia Department of Energy (Virginia Energy) to study </w:t>
      </w:r>
      <w:r w:rsidR="00FE48DF">
        <w:t>performance-based regulatory tools</w:t>
      </w:r>
      <w:r>
        <w:t xml:space="preserve"> for investor-owned electric utilities (the “SCC Study”).</w:t>
      </w:r>
      <w:r w:rsidR="00EC2266">
        <w:t xml:space="preserve"> </w:t>
      </w:r>
      <w:r>
        <w:t>The goal of the SCC Study is to evaluat</w:t>
      </w:r>
      <w:r w:rsidR="00EC2266">
        <w:t>e</w:t>
      </w:r>
      <w:r>
        <w:t xml:space="preserve"> the potential for </w:t>
      </w:r>
      <w:r w:rsidR="00EC2266">
        <w:t>performance-based regulation</w:t>
      </w:r>
      <w:r>
        <w:t xml:space="preserve"> and alternative regulatory tools to assist with:</w:t>
      </w:r>
    </w:p>
    <w:p w14:paraId="0D1D8E40" w14:textId="77777777" w:rsidR="00FE48DF" w:rsidRDefault="00FE48DF" w:rsidP="00FE48DF">
      <w:pPr>
        <w:pStyle w:val="ListParagraph"/>
        <w:numPr>
          <w:ilvl w:val="0"/>
          <w:numId w:val="46"/>
        </w:numPr>
        <w:spacing w:after="120"/>
        <w:ind w:left="907" w:hanging="547"/>
      </w:pPr>
      <w:r>
        <w:t xml:space="preserve">tracking and achieving improved performance in affordability, reliability, customer service, and </w:t>
      </w:r>
      <w:proofErr w:type="gramStart"/>
      <w:r>
        <w:t>resiliency;</w:t>
      </w:r>
      <w:proofErr w:type="gramEnd"/>
      <w:r>
        <w:t xml:space="preserve"> </w:t>
      </w:r>
    </w:p>
    <w:p w14:paraId="4FDB01AA" w14:textId="7014E50A" w:rsidR="00FE48DF" w:rsidRDefault="00FE48DF" w:rsidP="00FE48DF">
      <w:pPr>
        <w:pStyle w:val="ListParagraph"/>
        <w:numPr>
          <w:ilvl w:val="0"/>
          <w:numId w:val="46"/>
        </w:numPr>
        <w:spacing w:after="120"/>
        <w:ind w:left="907" w:hanging="547"/>
      </w:pPr>
      <w:r>
        <w:t xml:space="preserve">enhancing cost-containment </w:t>
      </w:r>
      <w:proofErr w:type="gramStart"/>
      <w:r>
        <w:t>incentives;</w:t>
      </w:r>
      <w:proofErr w:type="gramEnd"/>
      <w:r>
        <w:t xml:space="preserve"> </w:t>
      </w:r>
    </w:p>
    <w:p w14:paraId="6CDDDC84" w14:textId="77777777" w:rsidR="00FE48DF" w:rsidRDefault="00FE48DF" w:rsidP="00FE48DF">
      <w:pPr>
        <w:pStyle w:val="ListParagraph"/>
        <w:numPr>
          <w:ilvl w:val="0"/>
          <w:numId w:val="46"/>
        </w:numPr>
        <w:spacing w:after="120"/>
        <w:ind w:left="907" w:hanging="547"/>
      </w:pPr>
      <w:r>
        <w:t xml:space="preserve">streamlining planning and resource procurement to secure competitive prices for energy </w:t>
      </w:r>
      <w:proofErr w:type="gramStart"/>
      <w:r>
        <w:t>infrastructure;</w:t>
      </w:r>
      <w:proofErr w:type="gramEnd"/>
      <w:r>
        <w:t xml:space="preserve"> </w:t>
      </w:r>
    </w:p>
    <w:p w14:paraId="4547EBA1" w14:textId="77777777" w:rsidR="00FE48DF" w:rsidRDefault="00FE48DF" w:rsidP="00FE48DF">
      <w:pPr>
        <w:pStyle w:val="ListParagraph"/>
        <w:numPr>
          <w:ilvl w:val="0"/>
          <w:numId w:val="46"/>
        </w:numPr>
        <w:spacing w:after="120"/>
        <w:ind w:left="907" w:hanging="547"/>
      </w:pPr>
      <w:r>
        <w:t xml:space="preserve">harmonizing financial incentives created through regulation with the Commonwealth's energy policy </w:t>
      </w:r>
      <w:proofErr w:type="gramStart"/>
      <w:r>
        <w:t>goals;</w:t>
      </w:r>
      <w:proofErr w:type="gramEnd"/>
    </w:p>
    <w:p w14:paraId="1A83D35A" w14:textId="77777777" w:rsidR="00FE48DF" w:rsidRDefault="00FE48DF" w:rsidP="00FE48DF">
      <w:pPr>
        <w:pStyle w:val="ListParagraph"/>
        <w:numPr>
          <w:ilvl w:val="0"/>
          <w:numId w:val="46"/>
        </w:numPr>
        <w:spacing w:after="120"/>
        <w:ind w:left="907" w:hanging="547"/>
      </w:pPr>
      <w:r>
        <w:t xml:space="preserve">eliminating disincentives for utilities to deploy third-party and customer-owned generation, energy efficiency savings, and peak-load reduction; and </w:t>
      </w:r>
    </w:p>
    <w:p w14:paraId="7ED89F54" w14:textId="46392D18" w:rsidR="00FE48DF" w:rsidRDefault="00FE48DF" w:rsidP="00FE48DF">
      <w:pPr>
        <w:pStyle w:val="ListParagraph"/>
        <w:numPr>
          <w:ilvl w:val="0"/>
          <w:numId w:val="46"/>
        </w:numPr>
        <w:spacing w:after="240"/>
        <w:ind w:left="907" w:hanging="547"/>
      </w:pPr>
      <w:r>
        <w:t>making progress toward the Commonwealth's decarbonization goals.</w:t>
      </w:r>
    </w:p>
    <w:p w14:paraId="444DBAAD" w14:textId="00F2665B" w:rsidR="00C82DED" w:rsidRDefault="00EC2266" w:rsidP="00C82DED">
      <w:r>
        <w:t xml:space="preserve">Clean Virigina retained </w:t>
      </w:r>
      <w:r w:rsidR="00780AA3">
        <w:t xml:space="preserve">Synapse Energy Economics, Inc. (Synapse) to support the goals of the SCC Study by providing an assessment of </w:t>
      </w:r>
      <w:r w:rsidR="00C82DED">
        <w:t xml:space="preserve">Virginia’s current regulatory framework and </w:t>
      </w:r>
      <w:r w:rsidR="00780AA3">
        <w:t>the</w:t>
      </w:r>
      <w:r w:rsidR="00FE48DF">
        <w:t xml:space="preserve"> potential for </w:t>
      </w:r>
      <w:r w:rsidR="00C82DED">
        <w:t xml:space="preserve">a </w:t>
      </w:r>
      <w:r w:rsidR="00FE48DF">
        <w:t xml:space="preserve">multiyear rate plan (MRP) </w:t>
      </w:r>
      <w:r w:rsidR="00C82DED">
        <w:t xml:space="preserve">to help support </w:t>
      </w:r>
      <w:r w:rsidR="00FE48DF">
        <w:t>improve</w:t>
      </w:r>
      <w:r w:rsidR="00C82DED">
        <w:t xml:space="preserve">d regulatory </w:t>
      </w:r>
      <w:r w:rsidR="00FE48DF">
        <w:t>outcomes</w:t>
      </w:r>
      <w:r w:rsidR="00780AA3">
        <w:t xml:space="preserve">. This report </w:t>
      </w:r>
      <w:r w:rsidR="005455A5">
        <w:t>includes</w:t>
      </w:r>
      <w:r w:rsidR="00780AA3">
        <w:t xml:space="preserve"> </w:t>
      </w:r>
      <w:r w:rsidR="005455A5">
        <w:t xml:space="preserve">an </w:t>
      </w:r>
      <w:r w:rsidR="00780AA3">
        <w:t xml:space="preserve">overview of the potential </w:t>
      </w:r>
      <w:r w:rsidR="005455A5">
        <w:t>benefits</w:t>
      </w:r>
      <w:r w:rsidR="00780AA3">
        <w:t xml:space="preserve"> and risks of MRPs</w:t>
      </w:r>
      <w:r w:rsidR="005455A5">
        <w:t xml:space="preserve"> and design recommendations for an MRP framework in Virginia to ensure that both ratepayers and utilities can benefit from an alternative regulatory structure.</w:t>
      </w:r>
      <w:r>
        <w:t xml:space="preserve"> </w:t>
      </w:r>
    </w:p>
    <w:p w14:paraId="1F835C7C" w14:textId="4342359E" w:rsidR="00DE1733" w:rsidRPr="00DE1733" w:rsidRDefault="00DE1733" w:rsidP="00DE1733">
      <w:pPr>
        <w:pStyle w:val="Heading1"/>
      </w:pPr>
      <w:bookmarkStart w:id="4" w:name="_Toc195890682"/>
      <w:r>
        <w:t>Overview of current regulatory framework</w:t>
      </w:r>
      <w:bookmarkEnd w:id="4"/>
      <w:r w:rsidR="00EC2266">
        <w:t xml:space="preserve"> </w:t>
      </w:r>
    </w:p>
    <w:p w14:paraId="0A6B74A5" w14:textId="3B8C1E74" w:rsidR="00CD1C37" w:rsidRDefault="001743CC" w:rsidP="00FF04D1">
      <w:r>
        <w:t>The current regulatory framework</w:t>
      </w:r>
      <w:r w:rsidR="005878F0">
        <w:t xml:space="preserve"> for Dominion Energy Virginia (Dominion) and Appalachian Power Company (APCo) </w:t>
      </w:r>
      <w:r w:rsidR="00BA6101">
        <w:t xml:space="preserve">is not optimal to create </w:t>
      </w:r>
      <w:r w:rsidR="00705581">
        <w:t xml:space="preserve">utility </w:t>
      </w:r>
      <w:r w:rsidR="00BA6101">
        <w:t xml:space="preserve">incentives for cost-containment </w:t>
      </w:r>
      <w:r w:rsidR="00705581">
        <w:t xml:space="preserve">or to </w:t>
      </w:r>
      <w:r w:rsidR="00BA6101">
        <w:t xml:space="preserve">support demand-side resources such as energy efficiency and distributed energy generation. </w:t>
      </w:r>
      <w:r w:rsidR="005878F0">
        <w:t xml:space="preserve">As shown in </w:t>
      </w:r>
      <w:r w:rsidR="005878F0">
        <w:fldChar w:fldCharType="begin"/>
      </w:r>
      <w:r w:rsidR="005878F0">
        <w:instrText xml:space="preserve"> REF _Ref195540338 \h </w:instrText>
      </w:r>
      <w:r w:rsidR="005878F0">
        <w:fldChar w:fldCharType="separate"/>
      </w:r>
      <w:r w:rsidR="005878F0">
        <w:t xml:space="preserve">Table </w:t>
      </w:r>
      <w:r w:rsidR="005878F0">
        <w:rPr>
          <w:noProof/>
        </w:rPr>
        <w:t>1</w:t>
      </w:r>
      <w:r w:rsidR="005878F0">
        <w:fldChar w:fldCharType="end"/>
      </w:r>
      <w:r w:rsidR="005878F0">
        <w:t xml:space="preserve">, </w:t>
      </w:r>
      <w:r w:rsidR="00BA6101">
        <w:t>frequent rate cases, earnings test design, and the widespread use of trackers all have the potential to create negative outcomes for Virginia’s ratepayers and the environment.</w:t>
      </w:r>
      <w:r w:rsidR="00EC2266">
        <w:t xml:space="preserve"> </w:t>
      </w:r>
    </w:p>
    <w:p w14:paraId="2C5AB6BE" w14:textId="1C6191C3" w:rsidR="001743CC" w:rsidRDefault="001743CC" w:rsidP="005455A5">
      <w:pPr>
        <w:pStyle w:val="Table-Caption"/>
      </w:pPr>
      <w:bookmarkStart w:id="5" w:name="_Ref195540338"/>
      <w:r>
        <w:lastRenderedPageBreak/>
        <w:t xml:space="preserve">Table </w:t>
      </w:r>
      <w:fldSimple w:instr=" SEQ Table \* ARABIC ">
        <w:r w:rsidR="008B18FD">
          <w:rPr>
            <w:noProof/>
          </w:rPr>
          <w:t>1</w:t>
        </w:r>
      </w:fldSimple>
      <w:bookmarkEnd w:id="5"/>
      <w:r>
        <w:t>.</w:t>
      </w:r>
      <w:r w:rsidR="00BA6101">
        <w:t xml:space="preserve"> </w:t>
      </w:r>
      <w:r>
        <w:t xml:space="preserve">Virginia </w:t>
      </w:r>
      <w:r w:rsidR="00EC2266">
        <w:t xml:space="preserve">regulatory framework and resulting utility incentives </w:t>
      </w:r>
    </w:p>
    <w:tbl>
      <w:tblPr>
        <w:tblStyle w:val="TableGrid"/>
        <w:tblW w:w="9535" w:type="dxa"/>
        <w:tblCellMar>
          <w:top w:w="29" w:type="dxa"/>
          <w:left w:w="72" w:type="dxa"/>
          <w:bottom w:w="14" w:type="dxa"/>
          <w:right w:w="72" w:type="dxa"/>
        </w:tblCellMar>
        <w:tblLook w:val="04A0" w:firstRow="1" w:lastRow="0" w:firstColumn="1" w:lastColumn="0" w:noHBand="0" w:noVBand="1"/>
      </w:tblPr>
      <w:tblGrid>
        <w:gridCol w:w="2335"/>
        <w:gridCol w:w="3150"/>
        <w:gridCol w:w="4050"/>
      </w:tblGrid>
      <w:tr w:rsidR="005878F0" w:rsidRPr="0090427C" w14:paraId="53E9573E" w14:textId="082ACB07" w:rsidTr="008E6EED">
        <w:trPr>
          <w:trHeight w:val="479"/>
        </w:trPr>
        <w:tc>
          <w:tcPr>
            <w:tcW w:w="2335" w:type="dxa"/>
            <w:vAlign w:val="center"/>
            <w:hideMark/>
          </w:tcPr>
          <w:p w14:paraId="57669024" w14:textId="77777777" w:rsidR="005878F0" w:rsidRPr="0090427C" w:rsidRDefault="005878F0" w:rsidP="008E6EED">
            <w:pPr>
              <w:pStyle w:val="TableText"/>
              <w:keepNext/>
              <w:spacing w:before="0" w:beforeAutospacing="0" w:after="0" w:afterAutospacing="0"/>
              <w:rPr>
                <w:rFonts w:asciiTheme="minorHAnsi" w:hAnsiTheme="minorHAnsi" w:cstheme="minorHAnsi"/>
                <w:b/>
                <w:bCs/>
                <w:sz w:val="22"/>
              </w:rPr>
            </w:pPr>
            <w:r w:rsidRPr="0090427C">
              <w:rPr>
                <w:rFonts w:asciiTheme="minorHAnsi" w:hAnsiTheme="minorHAnsi" w:cstheme="minorHAnsi"/>
                <w:b/>
                <w:bCs/>
                <w:sz w:val="22"/>
              </w:rPr>
              <w:t>Regulatory Element</w:t>
            </w:r>
          </w:p>
        </w:tc>
        <w:tc>
          <w:tcPr>
            <w:tcW w:w="3150" w:type="dxa"/>
            <w:vAlign w:val="center"/>
            <w:hideMark/>
          </w:tcPr>
          <w:p w14:paraId="71E0B0BE" w14:textId="2ED6588D" w:rsidR="005878F0" w:rsidRPr="0090427C" w:rsidRDefault="005878F0" w:rsidP="008E6EED">
            <w:pPr>
              <w:pStyle w:val="TableText"/>
              <w:keepNext/>
              <w:spacing w:before="0" w:beforeAutospacing="0" w:after="0" w:afterAutospacing="0"/>
              <w:jc w:val="center"/>
              <w:rPr>
                <w:rFonts w:asciiTheme="minorHAnsi" w:hAnsiTheme="minorHAnsi" w:cstheme="minorHAnsi"/>
                <w:b/>
                <w:bCs/>
                <w:sz w:val="22"/>
              </w:rPr>
            </w:pPr>
            <w:r w:rsidRPr="0090427C">
              <w:rPr>
                <w:rFonts w:asciiTheme="minorHAnsi" w:hAnsiTheme="minorHAnsi" w:cstheme="minorHAnsi"/>
                <w:b/>
                <w:bCs/>
                <w:sz w:val="22"/>
              </w:rPr>
              <w:t xml:space="preserve">Virginia </w:t>
            </w:r>
            <w:r w:rsidR="00165023">
              <w:rPr>
                <w:rFonts w:asciiTheme="minorHAnsi" w:hAnsiTheme="minorHAnsi" w:cstheme="minorHAnsi"/>
                <w:b/>
                <w:bCs/>
                <w:sz w:val="22"/>
              </w:rPr>
              <w:t>Regulatory Framework</w:t>
            </w:r>
          </w:p>
        </w:tc>
        <w:tc>
          <w:tcPr>
            <w:tcW w:w="4050" w:type="dxa"/>
            <w:vAlign w:val="center"/>
          </w:tcPr>
          <w:p w14:paraId="6CBB8B01" w14:textId="0678C0A1" w:rsidR="005878F0" w:rsidRPr="0090427C" w:rsidRDefault="005878F0" w:rsidP="008E6EED">
            <w:pPr>
              <w:pStyle w:val="TableText"/>
              <w:keepNext/>
              <w:spacing w:before="0" w:beforeAutospacing="0" w:after="0" w:afterAutospacing="0"/>
              <w:jc w:val="center"/>
              <w:rPr>
                <w:rFonts w:asciiTheme="minorHAnsi" w:hAnsiTheme="minorHAnsi" w:cstheme="minorHAnsi"/>
                <w:b/>
                <w:bCs/>
                <w:sz w:val="22"/>
              </w:rPr>
            </w:pPr>
            <w:r>
              <w:rPr>
                <w:rFonts w:asciiTheme="minorHAnsi" w:hAnsiTheme="minorHAnsi" w:cstheme="minorHAnsi"/>
                <w:b/>
                <w:bCs/>
                <w:sz w:val="22"/>
              </w:rPr>
              <w:t>Utility Incentive</w:t>
            </w:r>
          </w:p>
        </w:tc>
      </w:tr>
      <w:tr w:rsidR="005878F0" w:rsidRPr="0090427C" w14:paraId="0BFBF4B2" w14:textId="71D09FCB" w:rsidTr="008E6EED">
        <w:trPr>
          <w:trHeight w:val="455"/>
        </w:trPr>
        <w:tc>
          <w:tcPr>
            <w:tcW w:w="2335" w:type="dxa"/>
            <w:hideMark/>
          </w:tcPr>
          <w:p w14:paraId="39C4C6DB" w14:textId="77777777" w:rsidR="005878F0" w:rsidRPr="0090427C" w:rsidRDefault="005878F0" w:rsidP="00EC2266">
            <w:pPr>
              <w:pStyle w:val="TableText"/>
              <w:keepNext/>
              <w:spacing w:before="0" w:beforeAutospacing="0" w:after="0" w:afterAutospacing="0"/>
              <w:rPr>
                <w:rFonts w:asciiTheme="minorHAnsi" w:hAnsiTheme="minorHAnsi" w:cstheme="minorHAnsi"/>
                <w:sz w:val="22"/>
              </w:rPr>
            </w:pPr>
            <w:r w:rsidRPr="0090427C">
              <w:rPr>
                <w:rFonts w:asciiTheme="minorHAnsi" w:hAnsiTheme="minorHAnsi" w:cstheme="minorHAnsi"/>
                <w:sz w:val="22"/>
              </w:rPr>
              <w:t>Frequency of rate cases</w:t>
            </w:r>
          </w:p>
        </w:tc>
        <w:tc>
          <w:tcPr>
            <w:tcW w:w="3150" w:type="dxa"/>
            <w:hideMark/>
          </w:tcPr>
          <w:p w14:paraId="1D7AD2F6" w14:textId="620F70A4" w:rsidR="005878F0" w:rsidRPr="0090427C" w:rsidRDefault="005878F0" w:rsidP="00EC2266">
            <w:pPr>
              <w:pStyle w:val="TableText"/>
              <w:keepNext/>
              <w:spacing w:before="0" w:beforeAutospacing="0" w:after="0" w:afterAutospacing="0"/>
              <w:rPr>
                <w:rFonts w:asciiTheme="minorHAnsi" w:hAnsiTheme="minorHAnsi" w:cstheme="minorHAnsi"/>
                <w:sz w:val="22"/>
              </w:rPr>
            </w:pPr>
            <w:r w:rsidRPr="0090427C">
              <w:rPr>
                <w:rFonts w:asciiTheme="minorHAnsi" w:hAnsiTheme="minorHAnsi" w:cstheme="minorHAnsi"/>
                <w:sz w:val="22"/>
              </w:rPr>
              <w:t xml:space="preserve">Every </w:t>
            </w:r>
            <w:r w:rsidR="00EC2266">
              <w:rPr>
                <w:rFonts w:asciiTheme="minorHAnsi" w:hAnsiTheme="minorHAnsi" w:cstheme="minorHAnsi"/>
                <w:sz w:val="22"/>
              </w:rPr>
              <w:t>two</w:t>
            </w:r>
            <w:r w:rsidRPr="0090427C">
              <w:rPr>
                <w:rFonts w:asciiTheme="minorHAnsi" w:hAnsiTheme="minorHAnsi" w:cstheme="minorHAnsi"/>
                <w:sz w:val="22"/>
              </w:rPr>
              <w:t xml:space="preserve"> years per the V</w:t>
            </w:r>
            <w:r w:rsidR="00EC2266">
              <w:rPr>
                <w:rFonts w:asciiTheme="minorHAnsi" w:hAnsiTheme="minorHAnsi" w:cstheme="minorHAnsi"/>
                <w:sz w:val="22"/>
              </w:rPr>
              <w:t>irginia</w:t>
            </w:r>
            <w:r w:rsidRPr="0090427C">
              <w:rPr>
                <w:rFonts w:asciiTheme="minorHAnsi" w:hAnsiTheme="minorHAnsi" w:cstheme="minorHAnsi"/>
                <w:sz w:val="22"/>
              </w:rPr>
              <w:t xml:space="preserve"> Electric Utility Regulation Act</w:t>
            </w:r>
          </w:p>
        </w:tc>
        <w:tc>
          <w:tcPr>
            <w:tcW w:w="4050" w:type="dxa"/>
          </w:tcPr>
          <w:p w14:paraId="6B8F2774" w14:textId="5B5DAE2C" w:rsidR="005878F0" w:rsidRPr="0090427C" w:rsidRDefault="00165023" w:rsidP="00EC2266">
            <w:pPr>
              <w:pStyle w:val="TableText"/>
              <w:keepNext/>
              <w:spacing w:before="0" w:beforeAutospacing="0" w:after="0" w:afterAutospacing="0"/>
              <w:rPr>
                <w:rFonts w:asciiTheme="minorHAnsi" w:hAnsiTheme="minorHAnsi" w:cstheme="minorHAnsi"/>
                <w:sz w:val="22"/>
              </w:rPr>
            </w:pPr>
            <w:r w:rsidRPr="00165023">
              <w:rPr>
                <w:rFonts w:asciiTheme="minorHAnsi" w:hAnsiTheme="minorHAnsi" w:cstheme="minorHAnsi"/>
                <w:sz w:val="22"/>
              </w:rPr>
              <w:t>Two-year rate case cadence results in limited regulatory lag</w:t>
            </w:r>
            <w:r w:rsidR="00190EB5">
              <w:rPr>
                <w:rFonts w:asciiTheme="minorHAnsi" w:hAnsiTheme="minorHAnsi" w:cstheme="minorHAnsi"/>
                <w:sz w:val="22"/>
              </w:rPr>
              <w:t>.</w:t>
            </w:r>
          </w:p>
        </w:tc>
      </w:tr>
      <w:tr w:rsidR="005878F0" w:rsidRPr="0090427C" w14:paraId="33C11F59" w14:textId="6DE97EF4" w:rsidTr="008E6EED">
        <w:trPr>
          <w:trHeight w:val="793"/>
        </w:trPr>
        <w:tc>
          <w:tcPr>
            <w:tcW w:w="2335" w:type="dxa"/>
            <w:hideMark/>
          </w:tcPr>
          <w:p w14:paraId="5BE71586" w14:textId="77777777" w:rsidR="005878F0" w:rsidRPr="0090427C" w:rsidRDefault="005878F0" w:rsidP="00EC2266">
            <w:pPr>
              <w:pStyle w:val="TableText"/>
              <w:keepNext/>
              <w:spacing w:before="0" w:beforeAutospacing="0" w:after="0" w:afterAutospacing="0"/>
              <w:rPr>
                <w:rFonts w:asciiTheme="minorHAnsi" w:hAnsiTheme="minorHAnsi" w:cstheme="minorHAnsi"/>
                <w:sz w:val="22"/>
              </w:rPr>
            </w:pPr>
            <w:r w:rsidRPr="0090427C">
              <w:rPr>
                <w:rFonts w:asciiTheme="minorHAnsi" w:hAnsiTheme="minorHAnsi" w:cstheme="minorHAnsi"/>
                <w:sz w:val="22"/>
              </w:rPr>
              <w:t>Base rate adjustments between rate cases</w:t>
            </w:r>
          </w:p>
        </w:tc>
        <w:tc>
          <w:tcPr>
            <w:tcW w:w="3150" w:type="dxa"/>
            <w:hideMark/>
          </w:tcPr>
          <w:p w14:paraId="46F157C6" w14:textId="77777777" w:rsidR="005878F0" w:rsidRPr="0090427C" w:rsidRDefault="005878F0" w:rsidP="00EC2266">
            <w:pPr>
              <w:pStyle w:val="TableText"/>
              <w:keepNext/>
              <w:spacing w:before="0" w:beforeAutospacing="0" w:after="0" w:afterAutospacing="0"/>
              <w:rPr>
                <w:rFonts w:asciiTheme="minorHAnsi" w:hAnsiTheme="minorHAnsi" w:cstheme="minorHAnsi"/>
                <w:sz w:val="22"/>
              </w:rPr>
            </w:pPr>
            <w:r w:rsidRPr="0090427C">
              <w:rPr>
                <w:rFonts w:asciiTheme="minorHAnsi" w:hAnsiTheme="minorHAnsi" w:cstheme="minorHAnsi"/>
                <w:sz w:val="22"/>
              </w:rPr>
              <w:t>None</w:t>
            </w:r>
          </w:p>
        </w:tc>
        <w:tc>
          <w:tcPr>
            <w:tcW w:w="4050" w:type="dxa"/>
          </w:tcPr>
          <w:p w14:paraId="31B8538C" w14:textId="04CDB21B" w:rsidR="005878F0" w:rsidRPr="0090427C" w:rsidRDefault="00165023" w:rsidP="008E6EED">
            <w:pPr>
              <w:pStyle w:val="TableText"/>
              <w:keepNext/>
              <w:spacing w:before="0" w:beforeAutospacing="0" w:after="0" w:afterAutospacing="0"/>
              <w:rPr>
                <w:rFonts w:asciiTheme="minorHAnsi" w:hAnsiTheme="minorHAnsi" w:cstheme="minorHAnsi"/>
                <w:sz w:val="22"/>
              </w:rPr>
            </w:pPr>
            <w:r>
              <w:rPr>
                <w:rFonts w:asciiTheme="minorHAnsi" w:hAnsiTheme="minorHAnsi" w:cstheme="minorHAnsi"/>
                <w:sz w:val="22"/>
              </w:rPr>
              <w:t>Creates incentive to i</w:t>
            </w:r>
            <w:r w:rsidRPr="00165023">
              <w:rPr>
                <w:rFonts w:asciiTheme="minorHAnsi" w:hAnsiTheme="minorHAnsi" w:cstheme="minorHAnsi"/>
                <w:sz w:val="22"/>
              </w:rPr>
              <w:t>ncrease sales (throughput incentive) and oppose load-reducing measures (energy efficiency, distributed generation)</w:t>
            </w:r>
            <w:r w:rsidR="00190EB5">
              <w:rPr>
                <w:rFonts w:asciiTheme="minorHAnsi" w:hAnsiTheme="minorHAnsi" w:cstheme="minorHAnsi"/>
                <w:sz w:val="22"/>
              </w:rPr>
              <w:t>.</w:t>
            </w:r>
          </w:p>
        </w:tc>
      </w:tr>
      <w:tr w:rsidR="005878F0" w:rsidRPr="0090427C" w14:paraId="3D6439C7" w14:textId="0769F3E9" w:rsidTr="008E6EED">
        <w:trPr>
          <w:trHeight w:val="1055"/>
        </w:trPr>
        <w:tc>
          <w:tcPr>
            <w:tcW w:w="2335" w:type="dxa"/>
          </w:tcPr>
          <w:p w14:paraId="25AFEE31" w14:textId="12ABDCF3" w:rsidR="005878F0" w:rsidRPr="0090427C" w:rsidRDefault="005878F0" w:rsidP="00EC2266">
            <w:pPr>
              <w:pStyle w:val="TableText"/>
              <w:keepNext/>
              <w:spacing w:before="0" w:beforeAutospacing="0" w:after="0" w:afterAutospacing="0"/>
              <w:rPr>
                <w:rFonts w:asciiTheme="minorHAnsi" w:hAnsiTheme="minorHAnsi" w:cstheme="minorHAnsi"/>
                <w:sz w:val="22"/>
              </w:rPr>
            </w:pPr>
            <w:r>
              <w:rPr>
                <w:rFonts w:asciiTheme="minorHAnsi" w:hAnsiTheme="minorHAnsi" w:cstheme="minorHAnsi"/>
                <w:sz w:val="22"/>
              </w:rPr>
              <w:t xml:space="preserve">Test </w:t>
            </w:r>
            <w:r w:rsidR="00EC2266">
              <w:rPr>
                <w:rFonts w:asciiTheme="minorHAnsi" w:hAnsiTheme="minorHAnsi" w:cstheme="minorHAnsi"/>
                <w:sz w:val="22"/>
              </w:rPr>
              <w:t>year</w:t>
            </w:r>
          </w:p>
        </w:tc>
        <w:tc>
          <w:tcPr>
            <w:tcW w:w="3150" w:type="dxa"/>
          </w:tcPr>
          <w:p w14:paraId="77240F19" w14:textId="58751CB1" w:rsidR="005878F0" w:rsidRPr="0090427C" w:rsidRDefault="00364356" w:rsidP="00EC2266">
            <w:pPr>
              <w:pStyle w:val="TableText"/>
              <w:keepNext/>
              <w:spacing w:before="0" w:beforeAutospacing="0" w:after="0" w:afterAutospacing="0"/>
              <w:rPr>
                <w:rFonts w:asciiTheme="minorHAnsi" w:hAnsiTheme="minorHAnsi" w:cstheme="minorHAnsi"/>
                <w:sz w:val="22"/>
              </w:rPr>
            </w:pPr>
            <w:r>
              <w:rPr>
                <w:rFonts w:asciiTheme="minorHAnsi" w:hAnsiTheme="minorHAnsi" w:cstheme="minorHAnsi"/>
                <w:sz w:val="22"/>
              </w:rPr>
              <w:t>Forward looking</w:t>
            </w:r>
            <w:r w:rsidR="00165023">
              <w:rPr>
                <w:rFonts w:asciiTheme="minorHAnsi" w:hAnsiTheme="minorHAnsi" w:cstheme="minorHAnsi"/>
                <w:sz w:val="22"/>
              </w:rPr>
              <w:t xml:space="preserve"> </w:t>
            </w:r>
          </w:p>
        </w:tc>
        <w:tc>
          <w:tcPr>
            <w:tcW w:w="4050" w:type="dxa"/>
          </w:tcPr>
          <w:p w14:paraId="06BEE127" w14:textId="7DE5694F" w:rsidR="005878F0" w:rsidRDefault="00364356" w:rsidP="00EC2266">
            <w:pPr>
              <w:pStyle w:val="TableText"/>
              <w:keepNext/>
              <w:spacing w:before="0" w:beforeAutospacing="0" w:after="0" w:afterAutospacing="0"/>
              <w:rPr>
                <w:rFonts w:asciiTheme="minorHAnsi" w:hAnsiTheme="minorHAnsi" w:cstheme="minorHAnsi"/>
                <w:sz w:val="22"/>
              </w:rPr>
            </w:pPr>
            <w:r>
              <w:rPr>
                <w:rFonts w:asciiTheme="minorHAnsi" w:hAnsiTheme="minorHAnsi" w:cstheme="minorHAnsi"/>
                <w:sz w:val="22"/>
              </w:rPr>
              <w:t>Developing rates based on unknown future costs creates</w:t>
            </w:r>
            <w:r w:rsidR="003B6B0C">
              <w:rPr>
                <w:rFonts w:asciiTheme="minorHAnsi" w:hAnsiTheme="minorHAnsi" w:cstheme="minorHAnsi"/>
                <w:sz w:val="22"/>
              </w:rPr>
              <w:t xml:space="preserve"> a risk that those costs may be inflated, resulting in overcompensating the utility. </w:t>
            </w:r>
          </w:p>
        </w:tc>
      </w:tr>
      <w:tr w:rsidR="005878F0" w:rsidRPr="0090427C" w14:paraId="0A5F5686" w14:textId="63D04EC9" w:rsidTr="008E6EED">
        <w:trPr>
          <w:trHeight w:val="1055"/>
        </w:trPr>
        <w:tc>
          <w:tcPr>
            <w:tcW w:w="2335" w:type="dxa"/>
            <w:hideMark/>
          </w:tcPr>
          <w:p w14:paraId="12DC59B3" w14:textId="1867B122" w:rsidR="00EC2266" w:rsidRPr="008E6EED" w:rsidRDefault="005878F0" w:rsidP="007B7698">
            <w:pPr>
              <w:pStyle w:val="TableText"/>
              <w:keepNext/>
              <w:spacing w:before="0" w:beforeAutospacing="0" w:after="0" w:afterAutospacing="0"/>
            </w:pPr>
            <w:r w:rsidRPr="0090427C">
              <w:rPr>
                <w:rFonts w:asciiTheme="minorHAnsi" w:hAnsiTheme="minorHAnsi" w:cstheme="minorHAnsi"/>
                <w:sz w:val="22"/>
              </w:rPr>
              <w:t>Earnings</w:t>
            </w:r>
            <w:r w:rsidR="007B7698">
              <w:rPr>
                <w:rFonts w:asciiTheme="minorHAnsi" w:hAnsiTheme="minorHAnsi" w:cstheme="minorHAnsi"/>
                <w:sz w:val="22"/>
              </w:rPr>
              <w:t xml:space="preserve"> Sharing Mechanism</w:t>
            </w:r>
          </w:p>
        </w:tc>
        <w:tc>
          <w:tcPr>
            <w:tcW w:w="3150" w:type="dxa"/>
            <w:hideMark/>
          </w:tcPr>
          <w:p w14:paraId="3A41D399" w14:textId="488231E5" w:rsidR="005878F0" w:rsidRPr="0090427C" w:rsidRDefault="005878F0" w:rsidP="00EC2266">
            <w:pPr>
              <w:pStyle w:val="TableText"/>
              <w:keepNext/>
              <w:spacing w:before="0" w:beforeAutospacing="0" w:after="0" w:afterAutospacing="0"/>
              <w:rPr>
                <w:rFonts w:asciiTheme="minorHAnsi" w:hAnsiTheme="minorHAnsi" w:cstheme="minorHAnsi"/>
                <w:sz w:val="22"/>
              </w:rPr>
            </w:pPr>
            <w:r w:rsidRPr="0090427C">
              <w:rPr>
                <w:rFonts w:asciiTheme="minorHAnsi" w:hAnsiTheme="minorHAnsi" w:cstheme="minorHAnsi"/>
                <w:sz w:val="22"/>
              </w:rPr>
              <w:t>Earnings test measures earnings of utility over a 13-month historic</w:t>
            </w:r>
            <w:r w:rsidR="00EC2266">
              <w:rPr>
                <w:rFonts w:asciiTheme="minorHAnsi" w:hAnsiTheme="minorHAnsi" w:cstheme="minorHAnsi"/>
                <w:sz w:val="22"/>
              </w:rPr>
              <w:t>al</w:t>
            </w:r>
            <w:r w:rsidRPr="0090427C">
              <w:rPr>
                <w:rFonts w:asciiTheme="minorHAnsi" w:hAnsiTheme="minorHAnsi" w:cstheme="minorHAnsi"/>
                <w:sz w:val="22"/>
              </w:rPr>
              <w:t xml:space="preserve"> period</w:t>
            </w:r>
            <w:r w:rsidR="00190EB5">
              <w:rPr>
                <w:rFonts w:asciiTheme="minorHAnsi" w:hAnsiTheme="minorHAnsi" w:cstheme="minorHAnsi"/>
                <w:sz w:val="22"/>
              </w:rPr>
              <w:t>; o</w:t>
            </w:r>
            <w:r w:rsidRPr="0090427C">
              <w:rPr>
                <w:rFonts w:asciiTheme="minorHAnsi" w:hAnsiTheme="minorHAnsi" w:cstheme="minorHAnsi"/>
                <w:sz w:val="22"/>
              </w:rPr>
              <w:t xml:space="preserve">verearnings shared with customers </w:t>
            </w:r>
            <w:r w:rsidR="00705581">
              <w:rPr>
                <w:rFonts w:asciiTheme="minorHAnsi" w:hAnsiTheme="minorHAnsi" w:cstheme="minorHAnsi"/>
                <w:sz w:val="22"/>
              </w:rPr>
              <w:t xml:space="preserve">(Dominion) </w:t>
            </w:r>
            <w:r w:rsidRPr="0090427C">
              <w:rPr>
                <w:rFonts w:asciiTheme="minorHAnsi" w:hAnsiTheme="minorHAnsi" w:cstheme="minorHAnsi"/>
                <w:sz w:val="22"/>
              </w:rPr>
              <w:t>or fully credited above</w:t>
            </w:r>
            <w:r w:rsidR="00705581">
              <w:rPr>
                <w:rFonts w:asciiTheme="minorHAnsi" w:hAnsiTheme="minorHAnsi" w:cstheme="minorHAnsi"/>
                <w:sz w:val="22"/>
              </w:rPr>
              <w:t xml:space="preserve"> 100 basis point</w:t>
            </w:r>
            <w:r w:rsidRPr="0090427C">
              <w:rPr>
                <w:rFonts w:asciiTheme="minorHAnsi" w:hAnsiTheme="minorHAnsi" w:cstheme="minorHAnsi"/>
                <w:sz w:val="22"/>
              </w:rPr>
              <w:t xml:space="preserve"> deadband </w:t>
            </w:r>
            <w:r w:rsidR="00705581">
              <w:rPr>
                <w:rFonts w:asciiTheme="minorHAnsi" w:hAnsiTheme="minorHAnsi" w:cstheme="minorHAnsi"/>
                <w:sz w:val="22"/>
              </w:rPr>
              <w:t>(APCo)</w:t>
            </w:r>
          </w:p>
        </w:tc>
        <w:tc>
          <w:tcPr>
            <w:tcW w:w="4050" w:type="dxa"/>
          </w:tcPr>
          <w:p w14:paraId="0903CBAC" w14:textId="77777777" w:rsidR="00190EB5" w:rsidRDefault="00705581" w:rsidP="00190EB5">
            <w:pPr>
              <w:pStyle w:val="TableText"/>
              <w:keepNext/>
              <w:spacing w:before="0" w:beforeAutospacing="0" w:after="120" w:afterAutospacing="0"/>
              <w:rPr>
                <w:rFonts w:asciiTheme="minorHAnsi" w:hAnsiTheme="minorHAnsi" w:cstheme="minorHAnsi"/>
                <w:sz w:val="22"/>
              </w:rPr>
            </w:pPr>
            <w:r>
              <w:rPr>
                <w:rFonts w:asciiTheme="minorHAnsi" w:hAnsiTheme="minorHAnsi" w:cstheme="minorHAnsi"/>
                <w:sz w:val="22"/>
              </w:rPr>
              <w:t xml:space="preserve">The </w:t>
            </w:r>
            <w:proofErr w:type="gramStart"/>
            <w:r>
              <w:rPr>
                <w:rFonts w:asciiTheme="minorHAnsi" w:hAnsiTheme="minorHAnsi" w:cstheme="minorHAnsi"/>
                <w:sz w:val="22"/>
              </w:rPr>
              <w:t>100 basis</w:t>
            </w:r>
            <w:proofErr w:type="gramEnd"/>
            <w:r>
              <w:rPr>
                <w:rFonts w:asciiTheme="minorHAnsi" w:hAnsiTheme="minorHAnsi" w:cstheme="minorHAnsi"/>
                <w:sz w:val="22"/>
              </w:rPr>
              <w:t xml:space="preserve"> point deadband for APCo offers some cost-containment incentives as it retains all earnings below deadband. </w:t>
            </w:r>
          </w:p>
          <w:p w14:paraId="115D1692" w14:textId="6356839B" w:rsidR="00705581" w:rsidRDefault="00705581" w:rsidP="008E6EED">
            <w:pPr>
              <w:pStyle w:val="TableText"/>
              <w:keepNext/>
              <w:spacing w:before="0" w:beforeAutospacing="0" w:after="120" w:afterAutospacing="0"/>
              <w:rPr>
                <w:rFonts w:asciiTheme="minorHAnsi" w:hAnsiTheme="minorHAnsi" w:cstheme="minorHAnsi"/>
                <w:sz w:val="22"/>
              </w:rPr>
            </w:pPr>
            <w:r>
              <w:rPr>
                <w:rFonts w:asciiTheme="minorHAnsi" w:hAnsiTheme="minorHAnsi" w:cstheme="minorHAnsi"/>
                <w:sz w:val="22"/>
              </w:rPr>
              <w:t>Dominion</w:t>
            </w:r>
            <w:r w:rsidR="00190EB5">
              <w:rPr>
                <w:rFonts w:asciiTheme="minorHAnsi" w:hAnsiTheme="minorHAnsi" w:cstheme="minorHAnsi"/>
                <w:sz w:val="22"/>
              </w:rPr>
              <w:t>’</w:t>
            </w:r>
            <w:r>
              <w:rPr>
                <w:rFonts w:asciiTheme="minorHAnsi" w:hAnsiTheme="minorHAnsi" w:cstheme="minorHAnsi"/>
                <w:sz w:val="22"/>
              </w:rPr>
              <w:t>s earnings test lacks a deadband which weakens cost-containment incentives.</w:t>
            </w:r>
            <w:r w:rsidR="00EC2266">
              <w:rPr>
                <w:rFonts w:asciiTheme="minorHAnsi" w:hAnsiTheme="minorHAnsi" w:cstheme="minorHAnsi"/>
                <w:sz w:val="22"/>
              </w:rPr>
              <w:t xml:space="preserve"> </w:t>
            </w:r>
          </w:p>
          <w:p w14:paraId="51DEE831" w14:textId="78B96C47" w:rsidR="00705581" w:rsidRDefault="00705581" w:rsidP="00EC2266">
            <w:pPr>
              <w:pStyle w:val="TableText"/>
              <w:keepNext/>
              <w:spacing w:before="0" w:beforeAutospacing="0" w:after="0" w:afterAutospacing="0"/>
              <w:rPr>
                <w:rFonts w:asciiTheme="minorHAnsi" w:hAnsiTheme="minorHAnsi" w:cstheme="minorHAnsi"/>
                <w:sz w:val="22"/>
              </w:rPr>
            </w:pPr>
            <w:r>
              <w:rPr>
                <w:rFonts w:asciiTheme="minorHAnsi" w:hAnsiTheme="minorHAnsi" w:cstheme="minorHAnsi"/>
                <w:sz w:val="22"/>
              </w:rPr>
              <w:t>The two-year rate period dampens any cost</w:t>
            </w:r>
            <w:r w:rsidR="00190EB5">
              <w:rPr>
                <w:rFonts w:asciiTheme="minorHAnsi" w:hAnsiTheme="minorHAnsi" w:cstheme="minorHAnsi"/>
                <w:sz w:val="22"/>
              </w:rPr>
              <w:t>-</w:t>
            </w:r>
            <w:r>
              <w:rPr>
                <w:rFonts w:asciiTheme="minorHAnsi" w:hAnsiTheme="minorHAnsi" w:cstheme="minorHAnsi"/>
                <w:sz w:val="22"/>
              </w:rPr>
              <w:t>control signal from an earnings test due to short period of time before rates are reset.</w:t>
            </w:r>
          </w:p>
          <w:p w14:paraId="496B6902" w14:textId="4E12424F" w:rsidR="005878F0" w:rsidRPr="0090427C" w:rsidRDefault="00EC2266" w:rsidP="00EC2266">
            <w:pPr>
              <w:pStyle w:val="TableText"/>
              <w:keepNext/>
              <w:spacing w:before="0" w:beforeAutospacing="0" w:after="0" w:afterAutospacing="0"/>
              <w:rPr>
                <w:rFonts w:asciiTheme="minorHAnsi" w:hAnsiTheme="minorHAnsi" w:cstheme="minorHAnsi"/>
                <w:sz w:val="22"/>
              </w:rPr>
            </w:pPr>
            <w:r>
              <w:rPr>
                <w:rFonts w:asciiTheme="minorHAnsi" w:hAnsiTheme="minorHAnsi" w:cstheme="minorHAnsi"/>
                <w:sz w:val="22"/>
              </w:rPr>
              <w:t xml:space="preserve"> </w:t>
            </w:r>
          </w:p>
        </w:tc>
      </w:tr>
      <w:tr w:rsidR="005878F0" w:rsidRPr="0090427C" w14:paraId="5EBE8A29" w14:textId="38A85276" w:rsidTr="008E6EED">
        <w:trPr>
          <w:trHeight w:val="890"/>
        </w:trPr>
        <w:tc>
          <w:tcPr>
            <w:tcW w:w="2335" w:type="dxa"/>
            <w:hideMark/>
          </w:tcPr>
          <w:p w14:paraId="0687002A" w14:textId="77777777" w:rsidR="005878F0" w:rsidRPr="0090427C" w:rsidRDefault="005878F0" w:rsidP="00EC2266">
            <w:pPr>
              <w:pStyle w:val="TableText"/>
              <w:keepNext/>
              <w:spacing w:before="0" w:beforeAutospacing="0" w:after="0" w:afterAutospacing="0"/>
              <w:rPr>
                <w:rFonts w:asciiTheme="minorHAnsi" w:hAnsiTheme="minorHAnsi" w:cstheme="minorHAnsi"/>
                <w:sz w:val="22"/>
              </w:rPr>
            </w:pPr>
            <w:r w:rsidRPr="0090427C">
              <w:rPr>
                <w:rFonts w:asciiTheme="minorHAnsi" w:hAnsiTheme="minorHAnsi" w:cstheme="minorHAnsi"/>
                <w:sz w:val="22"/>
              </w:rPr>
              <w:t>Trackers</w:t>
            </w:r>
          </w:p>
        </w:tc>
        <w:tc>
          <w:tcPr>
            <w:tcW w:w="3150" w:type="dxa"/>
            <w:hideMark/>
          </w:tcPr>
          <w:p w14:paraId="0F3AD308" w14:textId="77777777" w:rsidR="005878F0" w:rsidRPr="0090427C" w:rsidRDefault="005878F0" w:rsidP="00EC2266">
            <w:pPr>
              <w:pStyle w:val="TableText"/>
              <w:keepNext/>
              <w:spacing w:before="0" w:beforeAutospacing="0" w:after="0" w:afterAutospacing="0"/>
              <w:rPr>
                <w:rFonts w:asciiTheme="minorHAnsi" w:hAnsiTheme="minorHAnsi" w:cstheme="minorHAnsi"/>
                <w:sz w:val="22"/>
              </w:rPr>
            </w:pPr>
            <w:r w:rsidRPr="0090427C">
              <w:rPr>
                <w:rFonts w:asciiTheme="minorHAnsi" w:hAnsiTheme="minorHAnsi" w:cstheme="minorHAnsi"/>
                <w:sz w:val="22"/>
              </w:rPr>
              <w:t>Widespread use of trackers</w:t>
            </w:r>
          </w:p>
        </w:tc>
        <w:tc>
          <w:tcPr>
            <w:tcW w:w="4050" w:type="dxa"/>
          </w:tcPr>
          <w:p w14:paraId="2C703F73" w14:textId="1A17C985" w:rsidR="005878F0" w:rsidRPr="0090427C" w:rsidRDefault="00165023" w:rsidP="00EC2266">
            <w:pPr>
              <w:pStyle w:val="TableText"/>
              <w:keepNext/>
              <w:spacing w:before="0" w:beforeAutospacing="0" w:after="0" w:afterAutospacing="0"/>
              <w:rPr>
                <w:rFonts w:asciiTheme="minorHAnsi" w:hAnsiTheme="minorHAnsi" w:cstheme="minorHAnsi"/>
                <w:sz w:val="22"/>
              </w:rPr>
            </w:pPr>
            <w:r w:rsidRPr="00165023">
              <w:rPr>
                <w:rFonts w:asciiTheme="minorHAnsi" w:hAnsiTheme="minorHAnsi" w:cstheme="minorHAnsi"/>
                <w:sz w:val="22"/>
              </w:rPr>
              <w:t>Cost trackers erode cost</w:t>
            </w:r>
            <w:r w:rsidR="00190EB5">
              <w:rPr>
                <w:rFonts w:asciiTheme="minorHAnsi" w:hAnsiTheme="minorHAnsi" w:cstheme="minorHAnsi"/>
                <w:sz w:val="22"/>
              </w:rPr>
              <w:t>-</w:t>
            </w:r>
            <w:r w:rsidRPr="00165023">
              <w:rPr>
                <w:rFonts w:asciiTheme="minorHAnsi" w:hAnsiTheme="minorHAnsi" w:cstheme="minorHAnsi"/>
                <w:sz w:val="22"/>
              </w:rPr>
              <w:t>control incentive by reconciling revenues to actual costs each year.</w:t>
            </w:r>
          </w:p>
        </w:tc>
      </w:tr>
    </w:tbl>
    <w:p w14:paraId="0B411BE0" w14:textId="77777777" w:rsidR="00705581" w:rsidRDefault="00705581" w:rsidP="00F27620"/>
    <w:p w14:paraId="661898BE" w14:textId="20AE344D" w:rsidR="00705581" w:rsidRDefault="00705581" w:rsidP="00705581">
      <w:r>
        <w:t xml:space="preserve">The remaining sections of this report will </w:t>
      </w:r>
      <w:r w:rsidR="00237ECF">
        <w:t xml:space="preserve">examine </w:t>
      </w:r>
      <w:r w:rsidR="00136E66">
        <w:t xml:space="preserve">the potential benefits and risks of MRPs and how the implementation of a well-designed MRP could improve upon the </w:t>
      </w:r>
      <w:r>
        <w:t>existing regulatory framework</w:t>
      </w:r>
      <w:r w:rsidR="00136E66">
        <w:t xml:space="preserve"> by better aligning utility incentives with ratepayer interests and </w:t>
      </w:r>
      <w:r w:rsidR="005455A5">
        <w:t>energy policy</w:t>
      </w:r>
      <w:r w:rsidR="00136E66">
        <w:t xml:space="preserve"> goals.</w:t>
      </w:r>
      <w:r w:rsidR="00EC2266">
        <w:t xml:space="preserve"> </w:t>
      </w:r>
    </w:p>
    <w:p w14:paraId="30E7E2EC" w14:textId="402AAC10" w:rsidR="00DE1733" w:rsidRPr="00DE1733" w:rsidRDefault="00DE1733" w:rsidP="00DE1733">
      <w:pPr>
        <w:pStyle w:val="Heading1"/>
      </w:pPr>
      <w:bookmarkStart w:id="6" w:name="_Toc195890683"/>
      <w:r>
        <w:t>Potential benefits and drawbacks of MRPs in Virgina</w:t>
      </w:r>
      <w:bookmarkEnd w:id="6"/>
      <w:r>
        <w:t xml:space="preserve"> </w:t>
      </w:r>
    </w:p>
    <w:p w14:paraId="162C7753" w14:textId="0F819495" w:rsidR="00DE1733" w:rsidRDefault="00E67594" w:rsidP="00DE1733">
      <w:pPr>
        <w:pStyle w:val="Heading2"/>
      </w:pPr>
      <w:bookmarkStart w:id="7" w:name="_Toc195890684"/>
      <w:r>
        <w:t>Overview of the potential benefits and risks of MRPs</w:t>
      </w:r>
      <w:bookmarkEnd w:id="7"/>
    </w:p>
    <w:p w14:paraId="6FA06BAE" w14:textId="029FDB29" w:rsidR="00E67594" w:rsidRDefault="7B5557BC" w:rsidP="00E67594">
      <w:pPr>
        <w:pStyle w:val="Heading3"/>
      </w:pPr>
      <w:r>
        <w:t>Benefits</w:t>
      </w:r>
    </w:p>
    <w:p w14:paraId="63E16CDC" w14:textId="7A68BC34" w:rsidR="004B5F94" w:rsidRDefault="7B5557BC" w:rsidP="004B5F94">
      <w:pPr>
        <w:rPr>
          <w:color w:val="000000" w:themeColor="text1"/>
        </w:rPr>
      </w:pPr>
      <w:r w:rsidRPr="7B5557BC">
        <w:rPr>
          <w:color w:val="000000" w:themeColor="text1"/>
        </w:rPr>
        <w:t xml:space="preserve">MRPs have the potential to provide a range of benefits for both utilities and customers. When designed well, MRPs can encourage utilities to reduce spending and find cost efficiencies, while providing utilities with additional revenue between rate cases and reducing administrative burden. </w:t>
      </w:r>
    </w:p>
    <w:p w14:paraId="138EFFDC" w14:textId="11F903B6" w:rsidR="0025502F" w:rsidRDefault="7B5557BC" w:rsidP="7B5557BC">
      <w:pPr>
        <w:rPr>
          <w:color w:val="000000" w:themeColor="text1"/>
        </w:rPr>
      </w:pPr>
      <w:r w:rsidRPr="7B5557BC">
        <w:rPr>
          <w:rFonts w:eastAsia="Calibri" w:cs="Calibri"/>
          <w:color w:val="000000" w:themeColor="text1"/>
        </w:rPr>
        <w:lastRenderedPageBreak/>
        <w:t xml:space="preserve">One way of measuring the overall benefits of MRPs is to examine the relative productivity growth of utilities </w:t>
      </w:r>
      <w:r w:rsidR="00C773CD">
        <w:rPr>
          <w:rFonts w:eastAsia="Calibri" w:cs="Calibri"/>
          <w:color w:val="000000" w:themeColor="text1"/>
        </w:rPr>
        <w:t>with</w:t>
      </w:r>
      <w:r w:rsidRPr="7B5557BC">
        <w:rPr>
          <w:rFonts w:eastAsia="Calibri" w:cs="Calibri"/>
          <w:color w:val="000000" w:themeColor="text1"/>
        </w:rPr>
        <w:t xml:space="preserve"> MRP</w:t>
      </w:r>
      <w:r w:rsidR="00C773CD">
        <w:rPr>
          <w:rFonts w:eastAsia="Calibri" w:cs="Calibri"/>
          <w:color w:val="000000" w:themeColor="text1"/>
        </w:rPr>
        <w:t>s to those operating under traditional cost</w:t>
      </w:r>
      <w:r w:rsidR="007B31AF">
        <w:rPr>
          <w:rFonts w:eastAsia="Calibri" w:cs="Calibri"/>
          <w:color w:val="000000" w:themeColor="text1"/>
        </w:rPr>
        <w:t>-</w:t>
      </w:r>
      <w:r w:rsidR="00C773CD">
        <w:rPr>
          <w:rFonts w:eastAsia="Calibri" w:cs="Calibri"/>
          <w:color w:val="000000" w:themeColor="text1"/>
        </w:rPr>
        <w:t>of</w:t>
      </w:r>
      <w:r w:rsidR="007B31AF">
        <w:rPr>
          <w:rFonts w:eastAsia="Calibri" w:cs="Calibri"/>
          <w:color w:val="000000" w:themeColor="text1"/>
        </w:rPr>
        <w:t>-</w:t>
      </w:r>
      <w:r w:rsidR="00C773CD">
        <w:rPr>
          <w:rFonts w:eastAsia="Calibri" w:cs="Calibri"/>
          <w:color w:val="000000" w:themeColor="text1"/>
        </w:rPr>
        <w:t>service regulation</w:t>
      </w:r>
      <w:r w:rsidRPr="7B5557BC">
        <w:rPr>
          <w:rFonts w:eastAsia="Calibri" w:cs="Calibri"/>
          <w:color w:val="000000" w:themeColor="text1"/>
        </w:rPr>
        <w:t xml:space="preserve">. </w:t>
      </w:r>
      <w:r w:rsidR="00C773CD">
        <w:rPr>
          <w:rFonts w:eastAsia="Calibri" w:cs="Calibri"/>
          <w:color w:val="000000" w:themeColor="text1"/>
        </w:rPr>
        <w:t xml:space="preserve">The </w:t>
      </w:r>
      <w:r w:rsidR="00C773CD" w:rsidRPr="7B5557BC">
        <w:rPr>
          <w:color w:val="000000" w:themeColor="text1"/>
        </w:rPr>
        <w:t xml:space="preserve">Pacific Economics Group </w:t>
      </w:r>
      <w:r w:rsidR="00C773CD">
        <w:rPr>
          <w:color w:val="000000" w:themeColor="text1"/>
        </w:rPr>
        <w:t xml:space="preserve">developed a model to assess </w:t>
      </w:r>
      <w:r w:rsidR="0025502F">
        <w:rPr>
          <w:color w:val="000000" w:themeColor="text1"/>
        </w:rPr>
        <w:t xml:space="preserve">the change in </w:t>
      </w:r>
      <w:r w:rsidR="00C773CD">
        <w:rPr>
          <w:color w:val="000000" w:themeColor="text1"/>
        </w:rPr>
        <w:t>multifactor productivity growth</w:t>
      </w:r>
      <w:r w:rsidR="0025502F">
        <w:rPr>
          <w:color w:val="000000" w:themeColor="text1"/>
        </w:rPr>
        <w:t xml:space="preserve"> over time</w:t>
      </w:r>
      <w:r w:rsidR="00C773CD">
        <w:rPr>
          <w:color w:val="000000" w:themeColor="text1"/>
        </w:rPr>
        <w:t xml:space="preserve"> for several MRPs across the U</w:t>
      </w:r>
      <w:r w:rsidR="007B31AF">
        <w:rPr>
          <w:color w:val="000000" w:themeColor="text1"/>
        </w:rPr>
        <w:t>nited States</w:t>
      </w:r>
      <w:r w:rsidR="00C773CD">
        <w:rPr>
          <w:color w:val="000000" w:themeColor="text1"/>
        </w:rPr>
        <w:t xml:space="preserve"> and Canada. Multifactor productivity is a measurement of the relative amount of output for each unit of all combined inputs.</w:t>
      </w:r>
      <w:r w:rsidR="00C773CD">
        <w:rPr>
          <w:rStyle w:val="FootnoteReference"/>
          <w:color w:val="000000" w:themeColor="text1"/>
        </w:rPr>
        <w:footnoteReference w:id="1"/>
      </w:r>
      <w:r w:rsidR="00C773CD">
        <w:rPr>
          <w:color w:val="000000" w:themeColor="text1"/>
        </w:rPr>
        <w:t xml:space="preserve"> The model </w:t>
      </w:r>
      <w:r w:rsidRPr="7B5557BC">
        <w:rPr>
          <w:color w:val="000000" w:themeColor="text1"/>
        </w:rPr>
        <w:t>found that utility long-run cost performance on average improve</w:t>
      </w:r>
      <w:r w:rsidR="00C773CD">
        <w:rPr>
          <w:color w:val="000000" w:themeColor="text1"/>
        </w:rPr>
        <w:t>d</w:t>
      </w:r>
      <w:r w:rsidRPr="7B5557BC">
        <w:rPr>
          <w:color w:val="000000" w:themeColor="text1"/>
        </w:rPr>
        <w:t xml:space="preserve"> 0.51 percent more rapidly each year in an MRP with a five-year term and no earnings sharing than it d</w:t>
      </w:r>
      <w:r w:rsidR="00C773CD">
        <w:rPr>
          <w:color w:val="000000" w:themeColor="text1"/>
        </w:rPr>
        <w:t>id</w:t>
      </w:r>
      <w:r w:rsidRPr="7B5557BC">
        <w:rPr>
          <w:color w:val="000000" w:themeColor="text1"/>
        </w:rPr>
        <w:t xml:space="preserve"> under traditional regulation when rate cases </w:t>
      </w:r>
      <w:r w:rsidR="00C773CD" w:rsidRPr="7B5557BC">
        <w:rPr>
          <w:color w:val="000000" w:themeColor="text1"/>
        </w:rPr>
        <w:t>occur</w:t>
      </w:r>
      <w:r w:rsidR="00C773CD">
        <w:rPr>
          <w:color w:val="000000" w:themeColor="text1"/>
        </w:rPr>
        <w:t>red</w:t>
      </w:r>
      <w:r w:rsidRPr="7B5557BC">
        <w:rPr>
          <w:color w:val="000000" w:themeColor="text1"/>
        </w:rPr>
        <w:t xml:space="preserve"> every three years.</w:t>
      </w:r>
      <w:r w:rsidRPr="7B5557BC">
        <w:rPr>
          <w:rStyle w:val="FootnoteReference"/>
          <w:color w:val="000000" w:themeColor="text1"/>
        </w:rPr>
        <w:footnoteReference w:id="2"/>
      </w:r>
      <w:r w:rsidRPr="7B5557BC">
        <w:rPr>
          <w:color w:val="000000" w:themeColor="text1"/>
        </w:rPr>
        <w:t xml:space="preserve"> </w:t>
      </w:r>
    </w:p>
    <w:p w14:paraId="5DDC6ADE" w14:textId="64454C97" w:rsidR="7B5557BC" w:rsidRPr="00731B32" w:rsidRDefault="00A475DC" w:rsidP="7B5557BC">
      <w:pPr>
        <w:rPr>
          <w:color w:val="000000" w:themeColor="text1"/>
        </w:rPr>
      </w:pPr>
      <w:r>
        <w:rPr>
          <w:color w:val="000000" w:themeColor="text1"/>
        </w:rPr>
        <w:t>One example of an MRP creating improvements in cost efficiency can be found in</w:t>
      </w:r>
      <w:r w:rsidR="0025502F">
        <w:rPr>
          <w:color w:val="000000" w:themeColor="text1"/>
        </w:rPr>
        <w:t xml:space="preserve"> Alberta</w:t>
      </w:r>
      <w:r>
        <w:rPr>
          <w:color w:val="000000" w:themeColor="text1"/>
        </w:rPr>
        <w:t xml:space="preserve">. Alberta power distributors were </w:t>
      </w:r>
      <w:r w:rsidR="0025502F">
        <w:rPr>
          <w:color w:val="000000" w:themeColor="text1"/>
        </w:rPr>
        <w:t>subject to cost-of service regulation with two-year rate cases until 2013, a price cap index until 2017, and a price cap index with a supplemental capital mechanism until 2023. The analysis found that multifactor productivity growth was highest during the price cap index periods relative to the cost</w:t>
      </w:r>
      <w:r w:rsidR="007B31AF">
        <w:rPr>
          <w:color w:val="000000" w:themeColor="text1"/>
        </w:rPr>
        <w:t>-</w:t>
      </w:r>
      <w:r w:rsidR="0025502F">
        <w:rPr>
          <w:color w:val="000000" w:themeColor="text1"/>
        </w:rPr>
        <w:t>of</w:t>
      </w:r>
      <w:r w:rsidR="007B31AF">
        <w:rPr>
          <w:color w:val="000000" w:themeColor="text1"/>
        </w:rPr>
        <w:t>-</w:t>
      </w:r>
      <w:r w:rsidR="0025502F">
        <w:rPr>
          <w:color w:val="000000" w:themeColor="text1"/>
        </w:rPr>
        <w:t xml:space="preserve">service periods. This was largely driven by growth in operation and maintenance </w:t>
      </w:r>
      <w:r w:rsidR="00136E66">
        <w:rPr>
          <w:color w:val="000000" w:themeColor="text1"/>
        </w:rPr>
        <w:t xml:space="preserve">(O&amp;M) </w:t>
      </w:r>
      <w:r w:rsidR="0025502F">
        <w:rPr>
          <w:color w:val="000000" w:themeColor="text1"/>
        </w:rPr>
        <w:t>productivity growth</w:t>
      </w:r>
      <w:r w:rsidR="007B31AF">
        <w:rPr>
          <w:color w:val="000000" w:themeColor="text1"/>
        </w:rPr>
        <w:t>,</w:t>
      </w:r>
      <w:r w:rsidR="0025502F">
        <w:rPr>
          <w:color w:val="000000" w:themeColor="text1"/>
        </w:rPr>
        <w:t xml:space="preserve"> as capital productivity growth decreased during the price cap periods.</w:t>
      </w:r>
      <w:r w:rsidR="0025502F">
        <w:rPr>
          <w:rStyle w:val="FootnoteReference"/>
          <w:color w:val="000000" w:themeColor="text1"/>
        </w:rPr>
        <w:footnoteReference w:id="3"/>
      </w:r>
      <w:r w:rsidR="0025502F">
        <w:rPr>
          <w:color w:val="000000" w:themeColor="text1"/>
        </w:rPr>
        <w:t xml:space="preserve"> </w:t>
      </w:r>
      <w:r w:rsidR="00731B32">
        <w:rPr>
          <w:color w:val="000000" w:themeColor="text1"/>
        </w:rPr>
        <w:t>These p</w:t>
      </w:r>
      <w:r w:rsidR="00731B32" w:rsidRPr="00731B32">
        <w:rPr>
          <w:color w:val="000000" w:themeColor="text1"/>
        </w:rPr>
        <w:t xml:space="preserve">roductivity trends </w:t>
      </w:r>
      <w:r w:rsidR="00731B32">
        <w:rPr>
          <w:color w:val="000000" w:themeColor="text1"/>
        </w:rPr>
        <w:t xml:space="preserve">demonstrated that </w:t>
      </w:r>
      <w:r w:rsidR="00731B32" w:rsidRPr="00731B32">
        <w:rPr>
          <w:color w:val="000000" w:themeColor="text1"/>
        </w:rPr>
        <w:t xml:space="preserve">MRPs </w:t>
      </w:r>
      <w:r w:rsidR="00731B32">
        <w:rPr>
          <w:color w:val="000000" w:themeColor="text1"/>
        </w:rPr>
        <w:t>“c</w:t>
      </w:r>
      <w:r w:rsidR="00731B32" w:rsidRPr="00731B32">
        <w:rPr>
          <w:color w:val="000000" w:themeColor="text1"/>
        </w:rPr>
        <w:t>an materially slow utility cost</w:t>
      </w:r>
      <w:r w:rsidR="00731B32">
        <w:rPr>
          <w:color w:val="000000" w:themeColor="text1"/>
        </w:rPr>
        <w:t xml:space="preserve"> </w:t>
      </w:r>
      <w:r w:rsidR="00731B32" w:rsidRPr="00731B32">
        <w:rPr>
          <w:color w:val="000000" w:themeColor="text1"/>
        </w:rPr>
        <w:t>growth by strengthening incentives</w:t>
      </w:r>
      <w:r w:rsidR="00731B32">
        <w:rPr>
          <w:color w:val="000000" w:themeColor="text1"/>
        </w:rPr>
        <w:t>.”</w:t>
      </w:r>
      <w:r w:rsidR="00731B32">
        <w:rPr>
          <w:rStyle w:val="FootnoteReference"/>
          <w:color w:val="000000" w:themeColor="text1"/>
        </w:rPr>
        <w:footnoteReference w:id="4"/>
      </w:r>
    </w:p>
    <w:p w14:paraId="480AA408" w14:textId="661D3083" w:rsidR="00E67594" w:rsidRDefault="00E67594" w:rsidP="00E67594">
      <w:pPr>
        <w:pStyle w:val="Heading3"/>
      </w:pPr>
      <w:r>
        <w:t>Risks</w:t>
      </w:r>
    </w:p>
    <w:p w14:paraId="77046D70" w14:textId="38868DBC" w:rsidR="00731B32" w:rsidRDefault="00237E86" w:rsidP="00237E86">
      <w:r>
        <w:t>Despite the many</w:t>
      </w:r>
      <w:r w:rsidR="00BB0E58">
        <w:t xml:space="preserve"> potential</w:t>
      </w:r>
      <w:r>
        <w:t xml:space="preserve"> benefits </w:t>
      </w:r>
      <w:r w:rsidR="00BB0E58">
        <w:t xml:space="preserve">offered by </w:t>
      </w:r>
      <w:r>
        <w:t xml:space="preserve">MRPs, </w:t>
      </w:r>
      <w:r w:rsidR="00731B32">
        <w:t>they can</w:t>
      </w:r>
      <w:r w:rsidR="00BB0E58">
        <w:t xml:space="preserve"> also </w:t>
      </w:r>
      <w:r>
        <w:t>present risks</w:t>
      </w:r>
      <w:r w:rsidR="00BB0E58">
        <w:t>, particularly if not designed well</w:t>
      </w:r>
      <w:r>
        <w:t xml:space="preserve">. </w:t>
      </w:r>
      <w:r w:rsidR="00731B32">
        <w:t>Poorly designed MRPs can allow utilities to recover costs more quickly without increasing benefits to customers or advancing energy policy goals; reduce regulatory lag with no commensurate strengthening of cost</w:t>
      </w:r>
      <w:r w:rsidR="00742FA8">
        <w:t>-</w:t>
      </w:r>
      <w:r w:rsidR="00731B32">
        <w:t>containment incentives; e</w:t>
      </w:r>
      <w:r w:rsidR="00731B32" w:rsidRPr="00731B32">
        <w:t>xploit information asymmetries, particularly through reliance on cost forecasts</w:t>
      </w:r>
      <w:r w:rsidR="00731B32">
        <w:t xml:space="preserve">; </w:t>
      </w:r>
      <w:r w:rsidR="00A475DC">
        <w:t>and</w:t>
      </w:r>
      <w:r w:rsidR="00731B32">
        <w:t xml:space="preserve"> shift risks to ratepayers if the </w:t>
      </w:r>
      <w:r w:rsidR="00A475DC">
        <w:t>c</w:t>
      </w:r>
      <w:r w:rsidR="00731B32">
        <w:t>ommission pre-approves investments and cost</w:t>
      </w:r>
      <w:r w:rsidR="00A475DC">
        <w:t>s.</w:t>
      </w:r>
    </w:p>
    <w:p w14:paraId="4C72219F" w14:textId="4A2650CF" w:rsidR="00237E86" w:rsidRDefault="00F30654" w:rsidP="00237E86">
      <w:r>
        <w:t xml:space="preserve">One prominent example comes from </w:t>
      </w:r>
      <w:r w:rsidR="009F2E4E">
        <w:t xml:space="preserve">Maryland where the performance of </w:t>
      </w:r>
      <w:r w:rsidR="009F2E4E" w:rsidRPr="009F2E4E">
        <w:t>Baltimore Gas and Electric’s (BGE)</w:t>
      </w:r>
      <w:r w:rsidR="009F2E4E">
        <w:t xml:space="preserve"> and Pepco MRPs are currently under review.</w:t>
      </w:r>
      <w:r w:rsidR="009F2E4E">
        <w:rPr>
          <w:rStyle w:val="FootnoteReference"/>
        </w:rPr>
        <w:footnoteReference w:id="5"/>
      </w:r>
      <w:r w:rsidR="009F2E4E" w:rsidRPr="009F2E4E">
        <w:t xml:space="preserve"> </w:t>
      </w:r>
      <w:r w:rsidR="00AB6D89">
        <w:t xml:space="preserve">The current MRP framework includes the use of utility-specific cost forecasts to set the MRP revenue requirement and a reconciliation process </w:t>
      </w:r>
      <w:r w:rsidR="00AB6D89" w:rsidRPr="00AB6D89">
        <w:t>during and after</w:t>
      </w:r>
      <w:r w:rsidR="00742FA8">
        <w:t>-</w:t>
      </w:r>
      <w:r w:rsidR="00AB6D89" w:rsidRPr="00AB6D89">
        <w:t>MRP period</w:t>
      </w:r>
      <w:r w:rsidR="00AB6D89">
        <w:t xml:space="preserve">. The reconciliation process </w:t>
      </w:r>
      <w:r w:rsidR="00A475DC">
        <w:t xml:space="preserve">permits </w:t>
      </w:r>
      <w:r w:rsidRPr="00F30654">
        <w:t xml:space="preserve">utilities to recover costs that exceed </w:t>
      </w:r>
      <w:r w:rsidR="00AB6D89">
        <w:t>forecasts</w:t>
      </w:r>
      <w:r w:rsidRPr="00F30654">
        <w:t xml:space="preserve"> </w:t>
      </w:r>
      <w:r w:rsidR="008E6EED">
        <w:lastRenderedPageBreak/>
        <w:t>over the MRP term</w:t>
      </w:r>
      <w:r w:rsidR="00AB6D89">
        <w:t>, less carrying costs</w:t>
      </w:r>
      <w:r w:rsidRPr="00F30654">
        <w:t>, contingent upon</w:t>
      </w:r>
      <w:r w:rsidR="00AB6D89">
        <w:t xml:space="preserve"> regulatory review and return any under-spend to ratepayers</w:t>
      </w:r>
      <w:r w:rsidRPr="00F30654">
        <w:t>.</w:t>
      </w:r>
      <w:r w:rsidR="00AB6D89">
        <w:t xml:space="preserve"> </w:t>
      </w:r>
      <w:r w:rsidR="00237E86">
        <w:t xml:space="preserve">Stakeholders in Maryland have argued that </w:t>
      </w:r>
      <w:r w:rsidR="00AB6D89">
        <w:t>the MRP design</w:t>
      </w:r>
      <w:r>
        <w:t xml:space="preserve"> e</w:t>
      </w:r>
      <w:r w:rsidR="00237E86">
        <w:t>ncourage</w:t>
      </w:r>
      <w:r>
        <w:t>s</w:t>
      </w:r>
      <w:r w:rsidR="00237E86">
        <w:t xml:space="preserve"> utilities to increase capital spending, </w:t>
      </w:r>
      <w:r w:rsidR="00DE0042">
        <w:t xml:space="preserve">increases regulatory burden, </w:t>
      </w:r>
      <w:r>
        <w:t xml:space="preserve">reduces </w:t>
      </w:r>
      <w:r w:rsidR="00237E86">
        <w:t>transparency on benefits and costs, and shift</w:t>
      </w:r>
      <w:r>
        <w:t>s</w:t>
      </w:r>
      <w:r w:rsidR="00237E86">
        <w:t xml:space="preserve"> risk onto customers, who may face substantial rate increases with minimal quantifiable benefits. </w:t>
      </w:r>
    </w:p>
    <w:p w14:paraId="5180BCE2" w14:textId="4142A6A6" w:rsidR="00237E86" w:rsidRDefault="00DE0042" w:rsidP="00237E86">
      <w:r>
        <w:t>For example, t</w:t>
      </w:r>
      <w:r w:rsidR="00237E86">
        <w:t xml:space="preserve">he </w:t>
      </w:r>
      <w:r w:rsidR="00050013">
        <w:t>Maryland Energy Administration (</w:t>
      </w:r>
      <w:r w:rsidR="00237E86">
        <w:t>MEA</w:t>
      </w:r>
      <w:r w:rsidR="00050013">
        <w:t>)</w:t>
      </w:r>
      <w:r w:rsidR="00237E86">
        <w:t xml:space="preserve"> argu</w:t>
      </w:r>
      <w:r w:rsidR="00AB6D89">
        <w:t>ed</w:t>
      </w:r>
      <w:r w:rsidR="00237E86">
        <w:t xml:space="preserve"> that because utilities are no longer held to historical test</w:t>
      </w:r>
      <w:r w:rsidR="0018134C">
        <w:t>-</w:t>
      </w:r>
      <w:r w:rsidR="00237E86">
        <w:t>year cost</w:t>
      </w:r>
      <w:r w:rsidR="00050013">
        <w:t>s</w:t>
      </w:r>
      <w:r w:rsidR="00237E86">
        <w:t>, utilities can increase forecasted cost</w:t>
      </w:r>
      <w:r w:rsidR="00050013">
        <w:t>s</w:t>
      </w:r>
      <w:r w:rsidR="00237E86">
        <w:t xml:space="preserve"> and overspend without limits. </w:t>
      </w:r>
      <w:r>
        <w:t>MEA cited evidence that BGE</w:t>
      </w:r>
      <w:r w:rsidR="0018134C">
        <w:t>’s</w:t>
      </w:r>
      <w:r>
        <w:t xml:space="preserve"> average 2023 MRP reconciliation variance was 115 percent for electric capital expenditures and 177 percent for </w:t>
      </w:r>
      <w:r w:rsidR="0018134C">
        <w:t>O&amp;M</w:t>
      </w:r>
      <w:r>
        <w:t>.</w:t>
      </w:r>
      <w:r>
        <w:rPr>
          <w:rStyle w:val="FootnoteReference"/>
        </w:rPr>
        <w:footnoteReference w:id="6"/>
      </w:r>
      <w:r>
        <w:t xml:space="preserve"> </w:t>
      </w:r>
      <w:r w:rsidR="00237E86">
        <w:t>Furthermore, MEA also states that under MRPs, utilities can recover overspending through riders in a less thorough review process.</w:t>
      </w:r>
      <w:r>
        <w:rPr>
          <w:rStyle w:val="FootnoteReference"/>
        </w:rPr>
        <w:footnoteReference w:id="7"/>
      </w:r>
      <w:r w:rsidR="00237E86">
        <w:t xml:space="preserve"> </w:t>
      </w:r>
    </w:p>
    <w:p w14:paraId="52DB0810" w14:textId="21C3A085" w:rsidR="00237E86" w:rsidRDefault="00237E86" w:rsidP="00237E86">
      <w:r w:rsidRPr="009A2174">
        <w:t>The Maryland Office of People's Counsel (OPC) present</w:t>
      </w:r>
      <w:r w:rsidR="00050013">
        <w:t>ed</w:t>
      </w:r>
      <w:r w:rsidRPr="009A2174">
        <w:t xml:space="preserve"> a similar argument, claiming that</w:t>
      </w:r>
      <w:r>
        <w:t xml:space="preserve"> </w:t>
      </w:r>
      <w:r w:rsidRPr="009A2174">
        <w:t xml:space="preserve">MRPs are not in the public interest and have </w:t>
      </w:r>
      <w:r>
        <w:t>resulted</w:t>
      </w:r>
      <w:r w:rsidRPr="009A2174">
        <w:t xml:space="preserve"> </w:t>
      </w:r>
      <w:r>
        <w:t>in</w:t>
      </w:r>
      <w:r w:rsidRPr="009A2174">
        <w:t xml:space="preserve"> significant rate increases.</w:t>
      </w:r>
      <w:r w:rsidR="00DE0042">
        <w:t xml:space="preserve"> OPC cites </w:t>
      </w:r>
      <w:r w:rsidR="00136E66">
        <w:t>O&amp;M</w:t>
      </w:r>
      <w:r w:rsidR="00DE0042">
        <w:t xml:space="preserve"> and capital </w:t>
      </w:r>
      <w:r w:rsidRPr="00B54FB6">
        <w:t>expenditure</w:t>
      </w:r>
      <w:r>
        <w:t>s</w:t>
      </w:r>
      <w:r w:rsidRPr="00B54FB6">
        <w:t xml:space="preserve"> </w:t>
      </w:r>
      <w:r>
        <w:t>that exceeded</w:t>
      </w:r>
      <w:r w:rsidRPr="00B54FB6">
        <w:t xml:space="preserve"> </w:t>
      </w:r>
      <w:r>
        <w:t>the amount</w:t>
      </w:r>
      <w:r w:rsidRPr="00B54FB6">
        <w:t xml:space="preserve"> authorized by the Commission</w:t>
      </w:r>
      <w:r>
        <w:t>. For instance, BGE overspent on capital expenditures by 25 percent in 2022 and 44.9 percent in 2023.</w:t>
      </w:r>
      <w:r>
        <w:rPr>
          <w:rStyle w:val="FootnoteReference"/>
        </w:rPr>
        <w:footnoteReference w:id="8"/>
      </w:r>
      <w:r>
        <w:t xml:space="preserve"> Additionally, the reconciliation mechanism allowed BGE and Pepco to seek recovery of more than $268</w:t>
      </w:r>
      <w:r w:rsidR="00136E66">
        <w:t xml:space="preserve"> million</w:t>
      </w:r>
      <w:r>
        <w:t xml:space="preserve"> above the authorized revenue requirement.</w:t>
      </w:r>
      <w:r>
        <w:rPr>
          <w:rStyle w:val="FootnoteReference"/>
        </w:rPr>
        <w:footnoteReference w:id="9"/>
      </w:r>
      <w:r>
        <w:t xml:space="preserve"> </w:t>
      </w:r>
      <w:r w:rsidR="00136E66" w:rsidRPr="00136E66">
        <w:fldChar w:fldCharType="begin"/>
      </w:r>
      <w:r w:rsidR="00136E66" w:rsidRPr="00136E66">
        <w:instrText xml:space="preserve"> REF _Ref195543195 \h  \* MERGEFORMAT </w:instrText>
      </w:r>
      <w:r w:rsidR="00136E66" w:rsidRPr="00136E66">
        <w:fldChar w:fldCharType="separate"/>
      </w:r>
      <w:r w:rsidR="00136E66" w:rsidRPr="00136E66">
        <w:t xml:space="preserve">Table </w:t>
      </w:r>
      <w:r w:rsidR="00136E66" w:rsidRPr="00136E66">
        <w:rPr>
          <w:noProof/>
        </w:rPr>
        <w:t>2</w:t>
      </w:r>
      <w:r w:rsidR="00136E66" w:rsidRPr="00136E66">
        <w:fldChar w:fldCharType="end"/>
      </w:r>
      <w:r w:rsidR="00136E66">
        <w:t xml:space="preserve"> </w:t>
      </w:r>
      <w:r>
        <w:t>shows the cumulative MRP revenue requirement</w:t>
      </w:r>
      <w:bookmarkStart w:id="8" w:name="_Ref195116314"/>
      <w:r>
        <w:t xml:space="preserve">, </w:t>
      </w:r>
      <w:r w:rsidRPr="008D4D8A">
        <w:t xml:space="preserve">comparing the amounts awarded and the actual figures for BGE and Pepco over three years. OPC further points out that </w:t>
      </w:r>
      <w:r w:rsidR="009F2E4E">
        <w:t xml:space="preserve">BGE and Pepco did </w:t>
      </w:r>
      <w:r w:rsidRPr="008D4D8A">
        <w:t xml:space="preserve">not quantitatively demonstrate how customers have benefited from the increased capital spending and </w:t>
      </w:r>
      <w:r w:rsidR="009F2E4E">
        <w:t>did not identify</w:t>
      </w:r>
      <w:r w:rsidRPr="008D4D8A">
        <w:t xml:space="preserve"> any improvements in service quality.</w:t>
      </w:r>
      <w:r>
        <w:t xml:space="preserve"> </w:t>
      </w:r>
    </w:p>
    <w:p w14:paraId="37D11F1C" w14:textId="6BFDD0B6" w:rsidR="00237E86" w:rsidRPr="00DE0042" w:rsidRDefault="00237E86" w:rsidP="00D779C5">
      <w:pPr>
        <w:pStyle w:val="Table-Caption"/>
        <w:rPr>
          <w:rFonts w:asciiTheme="minorHAnsi" w:hAnsiTheme="minorHAnsi" w:cstheme="minorHAnsi"/>
        </w:rPr>
      </w:pPr>
      <w:bookmarkStart w:id="9" w:name="_Ref195543195"/>
      <w:r w:rsidRPr="00DE0042">
        <w:t xml:space="preserve">Table </w:t>
      </w:r>
      <w:fldSimple w:instr=" SEQ Table \* ARABIC ">
        <w:r w:rsidR="008B18FD">
          <w:rPr>
            <w:noProof/>
          </w:rPr>
          <w:t>2</w:t>
        </w:r>
      </w:fldSimple>
      <w:bookmarkEnd w:id="8"/>
      <w:bookmarkEnd w:id="9"/>
      <w:r w:rsidRPr="00DE0042">
        <w:t xml:space="preserve">. Cumulative MRP </w:t>
      </w:r>
      <w:r w:rsidR="0018134C" w:rsidRPr="00DE0042">
        <w:t>revenue requirement: awarded and actual</w:t>
      </w:r>
      <w:r w:rsidR="0018134C">
        <w:t xml:space="preserve"> </w:t>
      </w:r>
      <w:r w:rsidR="009D4797">
        <w:t xml:space="preserve">($ </w:t>
      </w:r>
      <w:r w:rsidR="0018134C">
        <w:t>millions</w:t>
      </w:r>
      <w:r w:rsidR="009D4797">
        <w:t>)</w:t>
      </w:r>
      <w:r w:rsidRPr="00DE0042">
        <w:t xml:space="preserve"> </w:t>
      </w:r>
    </w:p>
    <w:tbl>
      <w:tblPr>
        <w:tblStyle w:val="TableGrid"/>
        <w:tblW w:w="9360" w:type="dxa"/>
        <w:tblInd w:w="-5" w:type="dxa"/>
        <w:tblLayout w:type="fixed"/>
        <w:tblLook w:val="04A0" w:firstRow="1" w:lastRow="0" w:firstColumn="1" w:lastColumn="0" w:noHBand="0" w:noVBand="1"/>
      </w:tblPr>
      <w:tblGrid>
        <w:gridCol w:w="1440"/>
        <w:gridCol w:w="1170"/>
        <w:gridCol w:w="1350"/>
        <w:gridCol w:w="1350"/>
        <w:gridCol w:w="1350"/>
        <w:gridCol w:w="1440"/>
        <w:gridCol w:w="1260"/>
      </w:tblGrid>
      <w:tr w:rsidR="00237E86" w14:paraId="2E5AED2B" w14:textId="77777777" w:rsidTr="009F2E4E">
        <w:trPr>
          <w:trHeight w:val="318"/>
        </w:trPr>
        <w:tc>
          <w:tcPr>
            <w:tcW w:w="1440" w:type="dxa"/>
          </w:tcPr>
          <w:p w14:paraId="6CA35215" w14:textId="77777777" w:rsidR="00237E86" w:rsidRDefault="00237E86" w:rsidP="008244AC"/>
        </w:tc>
        <w:tc>
          <w:tcPr>
            <w:tcW w:w="2520" w:type="dxa"/>
            <w:gridSpan w:val="2"/>
          </w:tcPr>
          <w:p w14:paraId="5090D275" w14:textId="77777777" w:rsidR="00237E86" w:rsidRDefault="00237E86" w:rsidP="008244AC">
            <w:pPr>
              <w:jc w:val="center"/>
            </w:pPr>
            <w:r>
              <w:t>Rate Year 1</w:t>
            </w:r>
          </w:p>
        </w:tc>
        <w:tc>
          <w:tcPr>
            <w:tcW w:w="2700" w:type="dxa"/>
            <w:gridSpan w:val="2"/>
          </w:tcPr>
          <w:p w14:paraId="5EE6C2D2" w14:textId="77777777" w:rsidR="00237E86" w:rsidRDefault="00237E86" w:rsidP="008244AC">
            <w:pPr>
              <w:jc w:val="center"/>
            </w:pPr>
            <w:r>
              <w:t>Rate Year 2</w:t>
            </w:r>
          </w:p>
        </w:tc>
        <w:tc>
          <w:tcPr>
            <w:tcW w:w="2700" w:type="dxa"/>
            <w:gridSpan w:val="2"/>
          </w:tcPr>
          <w:p w14:paraId="55CCD6D8" w14:textId="77777777" w:rsidR="00237E86" w:rsidRDefault="00237E86" w:rsidP="008244AC">
            <w:pPr>
              <w:jc w:val="center"/>
            </w:pPr>
            <w:r>
              <w:t>Rate Year 3</w:t>
            </w:r>
          </w:p>
        </w:tc>
      </w:tr>
      <w:tr w:rsidR="00237E86" w14:paraId="3A4873D4" w14:textId="77777777" w:rsidTr="009F2E4E">
        <w:trPr>
          <w:trHeight w:val="368"/>
        </w:trPr>
        <w:tc>
          <w:tcPr>
            <w:tcW w:w="1440" w:type="dxa"/>
          </w:tcPr>
          <w:p w14:paraId="71495625" w14:textId="77777777" w:rsidR="00237E86" w:rsidRDefault="00237E86" w:rsidP="008244AC"/>
        </w:tc>
        <w:tc>
          <w:tcPr>
            <w:tcW w:w="1170" w:type="dxa"/>
          </w:tcPr>
          <w:p w14:paraId="257ACD3E" w14:textId="77777777" w:rsidR="00237E86" w:rsidRPr="009F2E4E" w:rsidRDefault="00237E86" w:rsidP="008244AC">
            <w:pPr>
              <w:jc w:val="center"/>
            </w:pPr>
            <w:r w:rsidRPr="009F2E4E">
              <w:t>Awarded</w:t>
            </w:r>
          </w:p>
        </w:tc>
        <w:tc>
          <w:tcPr>
            <w:tcW w:w="1350" w:type="dxa"/>
          </w:tcPr>
          <w:p w14:paraId="73208A7A" w14:textId="77777777" w:rsidR="00237E86" w:rsidRPr="009F2E4E" w:rsidRDefault="00237E86" w:rsidP="008244AC">
            <w:pPr>
              <w:jc w:val="center"/>
            </w:pPr>
            <w:r w:rsidRPr="009F2E4E">
              <w:t>Actual</w:t>
            </w:r>
          </w:p>
        </w:tc>
        <w:tc>
          <w:tcPr>
            <w:tcW w:w="1350" w:type="dxa"/>
          </w:tcPr>
          <w:p w14:paraId="426D6B0C" w14:textId="77777777" w:rsidR="00237E86" w:rsidRPr="009F2E4E" w:rsidRDefault="00237E86" w:rsidP="008244AC">
            <w:pPr>
              <w:jc w:val="center"/>
            </w:pPr>
            <w:r w:rsidRPr="009F2E4E">
              <w:t>Awarded</w:t>
            </w:r>
          </w:p>
        </w:tc>
        <w:tc>
          <w:tcPr>
            <w:tcW w:w="1350" w:type="dxa"/>
          </w:tcPr>
          <w:p w14:paraId="7AB08798" w14:textId="77777777" w:rsidR="00237E86" w:rsidRPr="009F2E4E" w:rsidRDefault="00237E86" w:rsidP="008244AC">
            <w:pPr>
              <w:jc w:val="center"/>
            </w:pPr>
            <w:r w:rsidRPr="009F2E4E">
              <w:t>Actual</w:t>
            </w:r>
          </w:p>
        </w:tc>
        <w:tc>
          <w:tcPr>
            <w:tcW w:w="1440" w:type="dxa"/>
          </w:tcPr>
          <w:p w14:paraId="614EC30F" w14:textId="77777777" w:rsidR="00237E86" w:rsidRPr="009F2E4E" w:rsidRDefault="00237E86" w:rsidP="008244AC">
            <w:pPr>
              <w:jc w:val="center"/>
            </w:pPr>
            <w:r w:rsidRPr="009F2E4E">
              <w:t>Awarded</w:t>
            </w:r>
          </w:p>
        </w:tc>
        <w:tc>
          <w:tcPr>
            <w:tcW w:w="1260" w:type="dxa"/>
          </w:tcPr>
          <w:p w14:paraId="259E0592" w14:textId="77777777" w:rsidR="00237E86" w:rsidRPr="009F2E4E" w:rsidRDefault="00237E86" w:rsidP="008244AC">
            <w:pPr>
              <w:jc w:val="center"/>
            </w:pPr>
            <w:r w:rsidRPr="009F2E4E">
              <w:t>Actual</w:t>
            </w:r>
          </w:p>
        </w:tc>
      </w:tr>
      <w:tr w:rsidR="00237E86" w14:paraId="1F6D6FE7" w14:textId="77777777" w:rsidTr="009F2E4E">
        <w:trPr>
          <w:trHeight w:val="304"/>
        </w:trPr>
        <w:tc>
          <w:tcPr>
            <w:tcW w:w="1440" w:type="dxa"/>
          </w:tcPr>
          <w:p w14:paraId="089051ED" w14:textId="77777777" w:rsidR="00237E86" w:rsidRDefault="00237E86" w:rsidP="008244AC">
            <w:r>
              <w:t xml:space="preserve">BGE Electric </w:t>
            </w:r>
          </w:p>
        </w:tc>
        <w:tc>
          <w:tcPr>
            <w:tcW w:w="1170" w:type="dxa"/>
          </w:tcPr>
          <w:p w14:paraId="23A3B6A2" w14:textId="77777777" w:rsidR="00237E86" w:rsidRDefault="00237E86" w:rsidP="00DE0042">
            <w:pPr>
              <w:jc w:val="right"/>
            </w:pPr>
            <w:r>
              <w:t>$59.30</w:t>
            </w:r>
          </w:p>
        </w:tc>
        <w:tc>
          <w:tcPr>
            <w:tcW w:w="1350" w:type="dxa"/>
          </w:tcPr>
          <w:p w14:paraId="5AA22DE8" w14:textId="77777777" w:rsidR="00237E86" w:rsidRDefault="00237E86" w:rsidP="00DE0042">
            <w:pPr>
              <w:jc w:val="right"/>
            </w:pPr>
            <w:r>
              <w:t>$71.90</w:t>
            </w:r>
          </w:p>
        </w:tc>
        <w:tc>
          <w:tcPr>
            <w:tcW w:w="1350" w:type="dxa"/>
          </w:tcPr>
          <w:p w14:paraId="1AC7FAF2" w14:textId="77777777" w:rsidR="00237E86" w:rsidRDefault="00237E86" w:rsidP="00DE0042">
            <w:pPr>
              <w:jc w:val="right"/>
            </w:pPr>
            <w:r>
              <w:t>$98.00</w:t>
            </w:r>
          </w:p>
        </w:tc>
        <w:tc>
          <w:tcPr>
            <w:tcW w:w="1350" w:type="dxa"/>
          </w:tcPr>
          <w:p w14:paraId="04F2CB58" w14:textId="77777777" w:rsidR="00237E86" w:rsidRDefault="00237E86" w:rsidP="00DE0042">
            <w:pPr>
              <w:jc w:val="right"/>
            </w:pPr>
            <w:r>
              <w:t>$137.00</w:t>
            </w:r>
          </w:p>
        </w:tc>
        <w:tc>
          <w:tcPr>
            <w:tcW w:w="1440" w:type="dxa"/>
          </w:tcPr>
          <w:p w14:paraId="716F8FA3" w14:textId="77777777" w:rsidR="00237E86" w:rsidRDefault="00237E86" w:rsidP="00DE0042">
            <w:pPr>
              <w:jc w:val="right"/>
            </w:pPr>
            <w:r>
              <w:t>$139.90</w:t>
            </w:r>
          </w:p>
        </w:tc>
        <w:tc>
          <w:tcPr>
            <w:tcW w:w="1260" w:type="dxa"/>
          </w:tcPr>
          <w:p w14:paraId="5FE6418C" w14:textId="77777777" w:rsidR="00237E86" w:rsidRDefault="00237E86" w:rsidP="00DE0042">
            <w:pPr>
              <w:jc w:val="right"/>
            </w:pPr>
            <w:r>
              <w:t>$218.88</w:t>
            </w:r>
          </w:p>
        </w:tc>
      </w:tr>
      <w:tr w:rsidR="00237E86" w14:paraId="7553C2D9" w14:textId="77777777" w:rsidTr="009F2E4E">
        <w:trPr>
          <w:trHeight w:val="318"/>
        </w:trPr>
        <w:tc>
          <w:tcPr>
            <w:tcW w:w="1440" w:type="dxa"/>
          </w:tcPr>
          <w:p w14:paraId="446AB4CE" w14:textId="77777777" w:rsidR="00237E86" w:rsidRDefault="00237E86" w:rsidP="008244AC">
            <w:r>
              <w:t>BGE Gas</w:t>
            </w:r>
          </w:p>
        </w:tc>
        <w:tc>
          <w:tcPr>
            <w:tcW w:w="1170" w:type="dxa"/>
          </w:tcPr>
          <w:p w14:paraId="4CA70C0A" w14:textId="77777777" w:rsidR="00237E86" w:rsidRDefault="00237E86" w:rsidP="00DE0042">
            <w:pPr>
              <w:jc w:val="right"/>
            </w:pPr>
            <w:r>
              <w:t>$53.24</w:t>
            </w:r>
          </w:p>
        </w:tc>
        <w:tc>
          <w:tcPr>
            <w:tcW w:w="1350" w:type="dxa"/>
          </w:tcPr>
          <w:p w14:paraId="3F85C73B" w14:textId="77777777" w:rsidR="00237E86" w:rsidRDefault="00237E86" w:rsidP="00DE0042">
            <w:pPr>
              <w:jc w:val="right"/>
            </w:pPr>
            <w:r>
              <w:t>$60.51</w:t>
            </w:r>
          </w:p>
        </w:tc>
        <w:tc>
          <w:tcPr>
            <w:tcW w:w="1350" w:type="dxa"/>
          </w:tcPr>
          <w:p w14:paraId="0A38F5FB" w14:textId="77777777" w:rsidR="00237E86" w:rsidRDefault="00237E86" w:rsidP="00DE0042">
            <w:pPr>
              <w:jc w:val="right"/>
            </w:pPr>
            <w:r>
              <w:t>$64.01</w:t>
            </w:r>
          </w:p>
        </w:tc>
        <w:tc>
          <w:tcPr>
            <w:tcW w:w="1350" w:type="dxa"/>
          </w:tcPr>
          <w:p w14:paraId="464165F7" w14:textId="77777777" w:rsidR="00237E86" w:rsidRDefault="00237E86" w:rsidP="00DE0042">
            <w:pPr>
              <w:jc w:val="right"/>
            </w:pPr>
            <w:r>
              <w:t>$78.52</w:t>
            </w:r>
          </w:p>
        </w:tc>
        <w:tc>
          <w:tcPr>
            <w:tcW w:w="1440" w:type="dxa"/>
          </w:tcPr>
          <w:p w14:paraId="55F18F05" w14:textId="77777777" w:rsidR="00237E86" w:rsidRDefault="00237E86" w:rsidP="00DE0042">
            <w:pPr>
              <w:jc w:val="right"/>
            </w:pPr>
            <w:r>
              <w:t>$73.88</w:t>
            </w:r>
          </w:p>
        </w:tc>
        <w:tc>
          <w:tcPr>
            <w:tcW w:w="1260" w:type="dxa"/>
          </w:tcPr>
          <w:p w14:paraId="2F0887F0" w14:textId="77777777" w:rsidR="00237E86" w:rsidRDefault="00237E86" w:rsidP="00DE0042">
            <w:pPr>
              <w:jc w:val="right"/>
            </w:pPr>
            <w:r>
              <w:t>$147.21</w:t>
            </w:r>
          </w:p>
        </w:tc>
      </w:tr>
      <w:tr w:rsidR="00237E86" w14:paraId="4BED59E5" w14:textId="77777777" w:rsidTr="009F2E4E">
        <w:trPr>
          <w:trHeight w:val="304"/>
        </w:trPr>
        <w:tc>
          <w:tcPr>
            <w:tcW w:w="1440" w:type="dxa"/>
          </w:tcPr>
          <w:p w14:paraId="2966F5AC" w14:textId="77777777" w:rsidR="00237E86" w:rsidRDefault="00237E86" w:rsidP="008244AC">
            <w:r>
              <w:t>Pepco</w:t>
            </w:r>
          </w:p>
        </w:tc>
        <w:tc>
          <w:tcPr>
            <w:tcW w:w="1170" w:type="dxa"/>
          </w:tcPr>
          <w:p w14:paraId="6DEB7E41" w14:textId="77777777" w:rsidR="00237E86" w:rsidRDefault="00237E86" w:rsidP="00DE0042">
            <w:pPr>
              <w:jc w:val="right"/>
            </w:pPr>
            <w:r>
              <w:t>$20.64</w:t>
            </w:r>
          </w:p>
        </w:tc>
        <w:tc>
          <w:tcPr>
            <w:tcW w:w="1350" w:type="dxa"/>
          </w:tcPr>
          <w:p w14:paraId="7E577B58" w14:textId="77777777" w:rsidR="00237E86" w:rsidRDefault="00237E86" w:rsidP="00DE0042">
            <w:pPr>
              <w:jc w:val="right"/>
            </w:pPr>
            <w:r>
              <w:t>$21.70</w:t>
            </w:r>
          </w:p>
        </w:tc>
        <w:tc>
          <w:tcPr>
            <w:tcW w:w="1350" w:type="dxa"/>
          </w:tcPr>
          <w:p w14:paraId="7D23E95C" w14:textId="77777777" w:rsidR="00237E86" w:rsidRDefault="00237E86" w:rsidP="00DE0042">
            <w:pPr>
              <w:jc w:val="right"/>
            </w:pPr>
            <w:r>
              <w:t>$36.90</w:t>
            </w:r>
          </w:p>
        </w:tc>
        <w:tc>
          <w:tcPr>
            <w:tcW w:w="1350" w:type="dxa"/>
          </w:tcPr>
          <w:p w14:paraId="65BC5B24" w14:textId="77777777" w:rsidR="00237E86" w:rsidRDefault="00237E86" w:rsidP="00DE0042">
            <w:pPr>
              <w:jc w:val="right"/>
            </w:pPr>
            <w:r>
              <w:t>$45.24</w:t>
            </w:r>
          </w:p>
        </w:tc>
        <w:tc>
          <w:tcPr>
            <w:tcW w:w="1440" w:type="dxa"/>
          </w:tcPr>
          <w:p w14:paraId="06016380" w14:textId="77777777" w:rsidR="00237E86" w:rsidRDefault="00237E86" w:rsidP="00DE0042">
            <w:pPr>
              <w:jc w:val="right"/>
            </w:pPr>
            <w:r>
              <w:t>$52.24</w:t>
            </w:r>
          </w:p>
        </w:tc>
        <w:tc>
          <w:tcPr>
            <w:tcW w:w="1260" w:type="dxa"/>
          </w:tcPr>
          <w:p w14:paraId="7E52DCCB" w14:textId="77777777" w:rsidR="00237E86" w:rsidRDefault="00237E86" w:rsidP="00DE0042">
            <w:pPr>
              <w:jc w:val="right"/>
            </w:pPr>
            <w:r>
              <w:t>$91.78</w:t>
            </w:r>
          </w:p>
        </w:tc>
      </w:tr>
    </w:tbl>
    <w:p w14:paraId="6B9E93A9" w14:textId="35418591" w:rsidR="00237E86" w:rsidRDefault="00237E86" w:rsidP="009F2E4E">
      <w:pPr>
        <w:pStyle w:val="Table-Source"/>
        <w:spacing w:after="360"/>
      </w:pPr>
      <w:r>
        <w:t xml:space="preserve">Source: Public Service Commission of Maryland Case No. 9618, In the Matter of Alternative Rate Plans or Methodologies to Establish New Base Rates for an Electric Company or Gas Company, Brief of the Maryland Office of Peoples Counsel, </w:t>
      </w:r>
      <w:r w:rsidR="009D4797">
        <w:t xml:space="preserve">Table 1, </w:t>
      </w:r>
      <w:r w:rsidR="00DE0042">
        <w:t>pg.</w:t>
      </w:r>
      <w:r>
        <w:t xml:space="preserve"> 17.</w:t>
      </w:r>
    </w:p>
    <w:p w14:paraId="3D93A2B2" w14:textId="480EF97C" w:rsidR="00237E86" w:rsidRPr="00E67594" w:rsidRDefault="009F2E4E" w:rsidP="00237E86">
      <w:r>
        <w:t xml:space="preserve">The Maryland example demonstrates how a poorly designed MRP can create risks to customers. </w:t>
      </w:r>
      <w:r w:rsidR="00237E86" w:rsidRPr="00E00D27">
        <w:t xml:space="preserve">Virginia can avoid these problems by </w:t>
      </w:r>
      <w:r>
        <w:t xml:space="preserve">not permitting reconciliation of overspend during or after the </w:t>
      </w:r>
      <w:r w:rsidR="009D4797">
        <w:t xml:space="preserve">MRP. In </w:t>
      </w:r>
      <w:r w:rsidR="009D4797">
        <w:lastRenderedPageBreak/>
        <w:t>addition, allowing utilities to benefit from reducing spending below budgets can provide utilities with an incentive to seek cost-efficiency</w:t>
      </w:r>
      <w:r>
        <w:t>.</w:t>
      </w:r>
      <w:r w:rsidR="00EC2266">
        <w:t xml:space="preserve"> </w:t>
      </w:r>
    </w:p>
    <w:p w14:paraId="141DD81C" w14:textId="7EAFAF20" w:rsidR="00E67594" w:rsidRDefault="7B5557BC" w:rsidP="00E67594">
      <w:pPr>
        <w:pStyle w:val="Heading2"/>
      </w:pPr>
      <w:bookmarkStart w:id="10" w:name="_Toc195890685"/>
      <w:r>
        <w:t>MRP design choices for Virgina</w:t>
      </w:r>
      <w:bookmarkEnd w:id="10"/>
    </w:p>
    <w:p w14:paraId="67B682F0" w14:textId="4D4910C2" w:rsidR="00E92683" w:rsidRDefault="00FF04D1" w:rsidP="00FF04D1">
      <w:r>
        <w:t xml:space="preserve">There are five key design choices to consider when developing an MRP framework. </w:t>
      </w:r>
      <w:r w:rsidR="00E92683">
        <w:t>As shown</w:t>
      </w:r>
      <w:r w:rsidR="0018134C">
        <w:t xml:space="preserve"> in</w:t>
      </w:r>
      <w:r w:rsidR="00E92683">
        <w:t xml:space="preserve"> </w:t>
      </w:r>
      <w:r w:rsidR="00D779C5">
        <w:fldChar w:fldCharType="begin"/>
      </w:r>
      <w:r w:rsidR="00D779C5">
        <w:instrText xml:space="preserve"> REF _Ref195536603 \h </w:instrText>
      </w:r>
      <w:r w:rsidR="00D779C5">
        <w:fldChar w:fldCharType="separate"/>
      </w:r>
      <w:r w:rsidR="00136E66">
        <w:t xml:space="preserve">Table </w:t>
      </w:r>
      <w:r w:rsidR="00136E66">
        <w:rPr>
          <w:noProof/>
        </w:rPr>
        <w:t>3</w:t>
      </w:r>
      <w:r w:rsidR="00D779C5">
        <w:fldChar w:fldCharType="end"/>
      </w:r>
      <w:r w:rsidR="00D779C5">
        <w:t xml:space="preserve">, </w:t>
      </w:r>
      <w:r w:rsidR="00E92683">
        <w:t>each MRP design element choice has an impact on utility incentives.</w:t>
      </w:r>
    </w:p>
    <w:p w14:paraId="030B14BB" w14:textId="20594502" w:rsidR="00D779C5" w:rsidRDefault="00D779C5" w:rsidP="00D779C5">
      <w:pPr>
        <w:pStyle w:val="Table-Caption"/>
      </w:pPr>
      <w:bookmarkStart w:id="11" w:name="_Ref195536603"/>
      <w:r>
        <w:t xml:space="preserve">Table </w:t>
      </w:r>
      <w:fldSimple w:instr=" SEQ Table \* ARABIC ">
        <w:r w:rsidR="008B18FD">
          <w:rPr>
            <w:noProof/>
          </w:rPr>
          <w:t>3</w:t>
        </w:r>
      </w:fldSimple>
      <w:bookmarkEnd w:id="11"/>
      <w:r>
        <w:t xml:space="preserve">. MRP </w:t>
      </w:r>
      <w:r w:rsidR="0018134C">
        <w:t xml:space="preserve">design choices and impact on utility incentives </w:t>
      </w:r>
    </w:p>
    <w:tbl>
      <w:tblPr>
        <w:tblStyle w:val="TableGrid"/>
        <w:tblW w:w="0" w:type="auto"/>
        <w:tblCellMar>
          <w:top w:w="14" w:type="dxa"/>
          <w:left w:w="72" w:type="dxa"/>
          <w:bottom w:w="14" w:type="dxa"/>
          <w:right w:w="72" w:type="dxa"/>
        </w:tblCellMar>
        <w:tblLook w:val="04A0" w:firstRow="1" w:lastRow="0" w:firstColumn="1" w:lastColumn="0" w:noHBand="0" w:noVBand="1"/>
      </w:tblPr>
      <w:tblGrid>
        <w:gridCol w:w="4675"/>
        <w:gridCol w:w="4675"/>
      </w:tblGrid>
      <w:tr w:rsidR="00E92683" w14:paraId="597C53F2" w14:textId="77777777" w:rsidTr="008E6EED">
        <w:tc>
          <w:tcPr>
            <w:tcW w:w="4675" w:type="dxa"/>
          </w:tcPr>
          <w:p w14:paraId="2C15DF11" w14:textId="572325D8" w:rsidR="00E92683" w:rsidRPr="00D779C5" w:rsidRDefault="00E92683" w:rsidP="00FF04D1">
            <w:pPr>
              <w:rPr>
                <w:b/>
                <w:bCs/>
              </w:rPr>
            </w:pPr>
            <w:r w:rsidRPr="00D779C5">
              <w:rPr>
                <w:b/>
                <w:bCs/>
              </w:rPr>
              <w:t>MRP Design Element</w:t>
            </w:r>
          </w:p>
        </w:tc>
        <w:tc>
          <w:tcPr>
            <w:tcW w:w="4675" w:type="dxa"/>
          </w:tcPr>
          <w:p w14:paraId="5E1B5442" w14:textId="1CFAA8E5" w:rsidR="00E92683" w:rsidRPr="00D779C5" w:rsidRDefault="00E92683" w:rsidP="00FF04D1">
            <w:pPr>
              <w:rPr>
                <w:b/>
                <w:bCs/>
              </w:rPr>
            </w:pPr>
            <w:r w:rsidRPr="00D779C5">
              <w:rPr>
                <w:b/>
                <w:bCs/>
              </w:rPr>
              <w:t xml:space="preserve">Impact on Utility Incentives </w:t>
            </w:r>
          </w:p>
        </w:tc>
      </w:tr>
      <w:tr w:rsidR="00E92683" w14:paraId="526C9DC0" w14:textId="77777777" w:rsidTr="008E6EED">
        <w:tc>
          <w:tcPr>
            <w:tcW w:w="4675" w:type="dxa"/>
          </w:tcPr>
          <w:p w14:paraId="11AD614E" w14:textId="08E9E969" w:rsidR="00E92683" w:rsidRDefault="00E92683" w:rsidP="00E92683">
            <w:pPr>
              <w:pStyle w:val="ListParagraph"/>
              <w:numPr>
                <w:ilvl w:val="0"/>
                <w:numId w:val="32"/>
              </w:numPr>
            </w:pPr>
            <w:r w:rsidRPr="00E92683">
              <w:t>Revenue requirement included in MRP (e.g., limited to O&amp;M spending or also including capital costs</w:t>
            </w:r>
            <w:r w:rsidR="00D779C5">
              <w:t xml:space="preserve">, </w:t>
            </w:r>
            <w:r w:rsidR="0018134C" w:rsidRPr="0018134C">
              <w:t>Rate Adjustment Clauses</w:t>
            </w:r>
            <w:r w:rsidRPr="00E92683">
              <w:t>)</w:t>
            </w:r>
          </w:p>
        </w:tc>
        <w:tc>
          <w:tcPr>
            <w:tcW w:w="4675" w:type="dxa"/>
          </w:tcPr>
          <w:p w14:paraId="437AA083" w14:textId="63538DE0" w:rsidR="00E92683" w:rsidRDefault="00D779C5" w:rsidP="00FF04D1">
            <w:r>
              <w:t>More costs in MRP = stronger cost</w:t>
            </w:r>
            <w:r w:rsidR="0018134C">
              <w:t>-</w:t>
            </w:r>
            <w:r>
              <w:t>containment incentive</w:t>
            </w:r>
          </w:p>
        </w:tc>
      </w:tr>
      <w:tr w:rsidR="00E92683" w14:paraId="75A1EB08" w14:textId="77777777" w:rsidTr="008E6EED">
        <w:tc>
          <w:tcPr>
            <w:tcW w:w="4675" w:type="dxa"/>
          </w:tcPr>
          <w:p w14:paraId="2BECB8A0" w14:textId="452D93EC" w:rsidR="00E92683" w:rsidRDefault="00E92683" w:rsidP="00E92683">
            <w:pPr>
              <w:pStyle w:val="ListParagraph"/>
              <w:numPr>
                <w:ilvl w:val="0"/>
                <w:numId w:val="32"/>
              </w:numPr>
            </w:pPr>
            <w:r>
              <w:t>Attrition Relief Mechanism (how revenues are adjusted during MRP)</w:t>
            </w:r>
          </w:p>
        </w:tc>
        <w:tc>
          <w:tcPr>
            <w:tcW w:w="4675" w:type="dxa"/>
          </w:tcPr>
          <w:p w14:paraId="33739EDA" w14:textId="5449D494" w:rsidR="00E92683" w:rsidRDefault="00D779C5" w:rsidP="00FF04D1">
            <w:r>
              <w:t>External cost indexes = stronger cost</w:t>
            </w:r>
            <w:r w:rsidR="0018134C">
              <w:t>-</w:t>
            </w:r>
            <w:r>
              <w:t>containment incentive</w:t>
            </w:r>
          </w:p>
        </w:tc>
      </w:tr>
      <w:tr w:rsidR="00E92683" w14:paraId="46669A84" w14:textId="77777777" w:rsidTr="008E6EED">
        <w:tc>
          <w:tcPr>
            <w:tcW w:w="4675" w:type="dxa"/>
          </w:tcPr>
          <w:p w14:paraId="5FC289F1" w14:textId="6824CE79" w:rsidR="00E92683" w:rsidRDefault="00E92683" w:rsidP="00E92683">
            <w:pPr>
              <w:pStyle w:val="ListParagraph"/>
              <w:numPr>
                <w:ilvl w:val="0"/>
                <w:numId w:val="32"/>
              </w:numPr>
            </w:pPr>
            <w:r>
              <w:t>Reconciliation of revenues to actual costs</w:t>
            </w:r>
          </w:p>
        </w:tc>
        <w:tc>
          <w:tcPr>
            <w:tcW w:w="4675" w:type="dxa"/>
          </w:tcPr>
          <w:p w14:paraId="4532BC17" w14:textId="573F4A7D" w:rsidR="00E92683" w:rsidRDefault="00D779C5" w:rsidP="00FF04D1">
            <w:r>
              <w:t>Reconciliation removes cost</w:t>
            </w:r>
            <w:r w:rsidR="0018134C">
              <w:t>-</w:t>
            </w:r>
            <w:r>
              <w:t>containment incentive</w:t>
            </w:r>
          </w:p>
        </w:tc>
      </w:tr>
      <w:tr w:rsidR="00E92683" w14:paraId="0C88FADE" w14:textId="77777777" w:rsidTr="008E6EED">
        <w:tc>
          <w:tcPr>
            <w:tcW w:w="4675" w:type="dxa"/>
          </w:tcPr>
          <w:p w14:paraId="6942A3D3" w14:textId="2BDDA05B" w:rsidR="00E92683" w:rsidRDefault="00E92683" w:rsidP="00E92683">
            <w:pPr>
              <w:pStyle w:val="ListParagraph"/>
              <w:numPr>
                <w:ilvl w:val="0"/>
                <w:numId w:val="32"/>
              </w:numPr>
            </w:pPr>
            <w:r>
              <w:t xml:space="preserve">Earnings Sharing </w:t>
            </w:r>
            <w:r w:rsidR="00D779C5">
              <w:t>Mechanism</w:t>
            </w:r>
            <w:r w:rsidR="003B6B0C">
              <w:t xml:space="preserve"> (ESM)</w:t>
            </w:r>
          </w:p>
        </w:tc>
        <w:tc>
          <w:tcPr>
            <w:tcW w:w="4675" w:type="dxa"/>
          </w:tcPr>
          <w:p w14:paraId="3C93C8BE" w14:textId="425DBC1F" w:rsidR="00E92683" w:rsidRDefault="004C543B" w:rsidP="00FF04D1">
            <w:r>
              <w:t xml:space="preserve">Allowing the utility to keep all earnings above its authorized ROE provides a strong incentive for the utility to control costs; however, this creates risks to ratepayers. An ESM helps to balance the benefits and risks between the utility and </w:t>
            </w:r>
            <w:proofErr w:type="gramStart"/>
            <w:r>
              <w:t>its  customers</w:t>
            </w:r>
            <w:proofErr w:type="gramEnd"/>
            <w:r>
              <w:t xml:space="preserve">.   </w:t>
            </w:r>
          </w:p>
        </w:tc>
      </w:tr>
      <w:tr w:rsidR="00E92683" w14:paraId="38FDC9FE" w14:textId="77777777" w:rsidTr="008E6EED">
        <w:tc>
          <w:tcPr>
            <w:tcW w:w="4675" w:type="dxa"/>
          </w:tcPr>
          <w:p w14:paraId="7E0CC1F4" w14:textId="58C225CA" w:rsidR="00E92683" w:rsidRDefault="00E92683" w:rsidP="00E92683">
            <w:pPr>
              <w:pStyle w:val="ListParagraph"/>
              <w:numPr>
                <w:ilvl w:val="0"/>
                <w:numId w:val="32"/>
              </w:numPr>
            </w:pPr>
            <w:r>
              <w:t>MRP stay-ou</w:t>
            </w:r>
            <w:r w:rsidR="0018134C">
              <w:t>t</w:t>
            </w:r>
            <w:r>
              <w:t xml:space="preserve"> period</w:t>
            </w:r>
          </w:p>
        </w:tc>
        <w:tc>
          <w:tcPr>
            <w:tcW w:w="4675" w:type="dxa"/>
          </w:tcPr>
          <w:p w14:paraId="4A79AD65" w14:textId="25AEC786" w:rsidR="00E92683" w:rsidRDefault="00D779C5" w:rsidP="00FF04D1">
            <w:r w:rsidRPr="00D779C5">
              <w:t>Longer stay-out period = stronger cost</w:t>
            </w:r>
            <w:r w:rsidR="0018134C">
              <w:t>-</w:t>
            </w:r>
            <w:r w:rsidRPr="00D779C5">
              <w:t>containment incentive</w:t>
            </w:r>
          </w:p>
        </w:tc>
      </w:tr>
    </w:tbl>
    <w:p w14:paraId="44CA6B2C" w14:textId="77777777" w:rsidR="00D779C5" w:rsidRPr="00D779C5" w:rsidRDefault="00D779C5" w:rsidP="00D779C5">
      <w:pPr>
        <w:rPr>
          <w:sz w:val="8"/>
          <w:szCs w:val="8"/>
        </w:rPr>
      </w:pPr>
    </w:p>
    <w:p w14:paraId="3493629D" w14:textId="247E3E05" w:rsidR="00FF04D1" w:rsidRPr="00FF04D1" w:rsidRDefault="00E92683" w:rsidP="00FF04D1">
      <w:r>
        <w:t xml:space="preserve">This section of the report will provide an overview of each MRP element and discuss potential design choices for Virginia. In addition, </w:t>
      </w:r>
      <w:r w:rsidR="00D779C5">
        <w:t xml:space="preserve">though not required as part of an MRP, this section will also review the potential for a decoupling mechanism to improve the current regulatory framework. </w:t>
      </w:r>
    </w:p>
    <w:p w14:paraId="4BA9AD62" w14:textId="2DADE07F" w:rsidR="7B5557BC" w:rsidRDefault="7B5557BC" w:rsidP="7B5557BC">
      <w:pPr>
        <w:pStyle w:val="Heading3"/>
      </w:pPr>
      <w:r>
        <w:t xml:space="preserve">Revenue requirements included in the MRP </w:t>
      </w:r>
    </w:p>
    <w:p w14:paraId="58F95314" w14:textId="4D6E0042" w:rsidR="0041520E" w:rsidRDefault="0041520E" w:rsidP="0041520E">
      <w:pPr>
        <w:pStyle w:val="Heading4"/>
      </w:pPr>
      <w:r>
        <w:t xml:space="preserve">Recovery of </w:t>
      </w:r>
      <w:r w:rsidR="0018134C">
        <w:t xml:space="preserve">revenues </w:t>
      </w:r>
    </w:p>
    <w:p w14:paraId="438B644C" w14:textId="1895B5E6" w:rsidR="00126E1C" w:rsidRDefault="00136E66" w:rsidP="00126E1C">
      <w:r>
        <w:t xml:space="preserve">An initial design consideration for Virginia is to determine what utility costs </w:t>
      </w:r>
      <w:r w:rsidR="0018134C">
        <w:t>to include</w:t>
      </w:r>
      <w:r>
        <w:t xml:space="preserve"> in the MRP revenue requirements. Currently, approximately 50 percent of Dominion</w:t>
      </w:r>
      <w:r w:rsidR="000A5846">
        <w:t xml:space="preserve">’s and APCo’s revenues are recovered through Rate Adjustment Clauses (RAC) or “trackers.” </w:t>
      </w:r>
      <w:r w:rsidR="00990870" w:rsidRPr="00990870">
        <w:t>Costs recovered through RACs are recovered on a dollar-for-dollar basis</w:t>
      </w:r>
      <w:r w:rsidR="00990870">
        <w:t xml:space="preserve">. </w:t>
      </w:r>
      <w:r w:rsidR="00B12859">
        <w:t xml:space="preserve">Some of the </w:t>
      </w:r>
      <w:r w:rsidR="00126E1C">
        <w:t>trackers</w:t>
      </w:r>
      <w:r w:rsidR="00B12859">
        <w:t xml:space="preserve">, </w:t>
      </w:r>
      <w:r w:rsidR="00126E1C">
        <w:t>includ</w:t>
      </w:r>
      <w:r w:rsidR="00B12859">
        <w:t>ing</w:t>
      </w:r>
      <w:r w:rsidR="00126E1C">
        <w:t xml:space="preserve"> the costs of demand response programs, broadband capacity extensions, lost revenues from low-income customer discounts, and rene</w:t>
      </w:r>
      <w:r w:rsidR="00990870">
        <w:t>w</w:t>
      </w:r>
      <w:r w:rsidR="00126E1C">
        <w:t>able portfolio standard (RPS) costs</w:t>
      </w:r>
      <w:r w:rsidR="00B12859">
        <w:t xml:space="preserve"> are commonly seen in other jurisdictions. </w:t>
      </w:r>
      <w:r w:rsidR="00126E1C" w:rsidRPr="00126E1C">
        <w:t>For example, New York</w:t>
      </w:r>
      <w:r w:rsidR="00990870">
        <w:t xml:space="preserve"> </w:t>
      </w:r>
      <w:r w:rsidR="00126E1C" w:rsidRPr="00126E1C">
        <w:t xml:space="preserve">has reconciliation accounting mechanisms for Regional Greenhouse Gas Initiative costs, system </w:t>
      </w:r>
      <w:r w:rsidR="00126E1C" w:rsidRPr="00126E1C">
        <w:lastRenderedPageBreak/>
        <w:t>benefits charges for efficiency programs, market supply charges, and costs associated with the low</w:t>
      </w:r>
      <w:r w:rsidR="009F5935">
        <w:t>-</w:t>
      </w:r>
      <w:r w:rsidR="00126E1C" w:rsidRPr="00126E1C">
        <w:t>income customer charge discounts</w:t>
      </w:r>
      <w:r w:rsidR="00126E1C" w:rsidRPr="00126E1C">
        <w:rPr>
          <w:rFonts w:eastAsia="Times New Roman"/>
        </w:rPr>
        <w:t>.</w:t>
      </w:r>
      <w:r w:rsidR="00126E1C" w:rsidRPr="00126E1C">
        <w:rPr>
          <w:rStyle w:val="FootnoteReference"/>
          <w:rFonts w:eastAsia="Times New Roman"/>
          <w:sz w:val="22"/>
        </w:rPr>
        <w:footnoteReference w:id="10"/>
      </w:r>
    </w:p>
    <w:p w14:paraId="52723E9D" w14:textId="63F4D192" w:rsidR="00732FB4" w:rsidRPr="00732FB4" w:rsidRDefault="00990870" w:rsidP="00732FB4">
      <w:r>
        <w:t xml:space="preserve">However, </w:t>
      </w:r>
      <w:r w:rsidR="00126E1C">
        <w:t>Dominion</w:t>
      </w:r>
      <w:r>
        <w:t xml:space="preserve"> also</w:t>
      </w:r>
      <w:r w:rsidR="00126E1C">
        <w:t xml:space="preserve"> has trackers </w:t>
      </w:r>
      <w:r>
        <w:t xml:space="preserve">for a </w:t>
      </w:r>
      <w:r w:rsidR="009F5935">
        <w:t xml:space="preserve">substantial </w:t>
      </w:r>
      <w:r>
        <w:t xml:space="preserve">amount of capital projects including </w:t>
      </w:r>
      <w:r w:rsidR="00126E1C">
        <w:t>for two gas-fired combined</w:t>
      </w:r>
      <w:r w:rsidR="009F5935">
        <w:t>-</w:t>
      </w:r>
      <w:r w:rsidR="00126E1C">
        <w:t>cycle plants, offshore wind, solar generation, distribution undergrounding, distribution “grid transformation</w:t>
      </w:r>
      <w:r w:rsidR="009F5935">
        <w:t>,</w:t>
      </w:r>
      <w:r w:rsidR="00126E1C">
        <w:t xml:space="preserve">” and service life extension for nuclear generating units. Dominion also forecasts that approximately 75 percent of its forecasted </w:t>
      </w:r>
      <w:r>
        <w:t>capital plan will be eligible for tracker treatment.</w:t>
      </w:r>
      <w:r>
        <w:rPr>
          <w:rStyle w:val="FootnoteReference"/>
        </w:rPr>
        <w:footnoteReference w:id="11"/>
      </w:r>
    </w:p>
    <w:p w14:paraId="257EB8D4" w14:textId="3FF4BBE2" w:rsidR="000576FC" w:rsidRDefault="7B5557BC" w:rsidP="00990870">
      <w:r>
        <w:t>The potential benefits of an MRP will be diluted if half or more of a utility’s revenue requirement is recovered outside of base rates through trackers</w:t>
      </w:r>
      <w:r w:rsidR="00B12859">
        <w:t xml:space="preserve"> or riders</w:t>
      </w:r>
      <w:r>
        <w:t xml:space="preserve">. </w:t>
      </w:r>
      <w:r w:rsidR="000576FC" w:rsidRPr="000576FC">
        <w:t>Cost trackers erode a utility's incentive to control costs because the utility is allowed to reconcile revenues to actual costs each year. There is therefore no incentive for the utility to control its costs or seek cost-efficiencies.</w:t>
      </w:r>
      <w:r w:rsidR="000576FC">
        <w:t xml:space="preserve"> </w:t>
      </w:r>
      <w:r w:rsidR="004C543B">
        <w:t xml:space="preserve"> </w:t>
      </w:r>
      <w:r w:rsidR="00EC2266">
        <w:t xml:space="preserve"> </w:t>
      </w:r>
      <w:r w:rsidR="000576FC" w:rsidRPr="000576FC">
        <w:t xml:space="preserve"> </w:t>
      </w:r>
    </w:p>
    <w:p w14:paraId="063CE294" w14:textId="2A470DCD" w:rsidR="000576FC" w:rsidRDefault="000576FC" w:rsidP="000576FC">
      <w:r>
        <w:t xml:space="preserve">Tracking mechanisms </w:t>
      </w:r>
      <w:r w:rsidR="009F5935">
        <w:t>are appropriate</w:t>
      </w:r>
      <w:r>
        <w:t xml:space="preserve"> </w:t>
      </w:r>
      <w:r w:rsidR="008F3AAB">
        <w:t xml:space="preserve">only </w:t>
      </w:r>
      <w:r>
        <w:t>for a very limited set of costs that are outside of a utility’s control. For example, costs such as taxes, pensions, and market supply costs are sometimes passed through via a tracker. In addition, one-time</w:t>
      </w:r>
      <w:r w:rsidR="009F5935">
        <w:t>,</w:t>
      </w:r>
      <w:r>
        <w:t xml:space="preserve"> </w:t>
      </w:r>
      <w:r w:rsidR="009F5935">
        <w:t xml:space="preserve">reasonably incurred </w:t>
      </w:r>
      <w:r>
        <w:t>extraordinary costs (such as extraordinary storm response costs) could be recovered through a tracker.</w:t>
      </w:r>
    </w:p>
    <w:p w14:paraId="0607C146" w14:textId="5CD17B06" w:rsidR="000576FC" w:rsidRDefault="000576FC" w:rsidP="000576FC">
      <w:r>
        <w:t xml:space="preserve">An MRP can only support cost-containment incentives for costs contained within the MRP’s revenue requirement cap. Having </w:t>
      </w:r>
      <w:proofErr w:type="gramStart"/>
      <w:r>
        <w:t>a large number of</w:t>
      </w:r>
      <w:proofErr w:type="gramEnd"/>
      <w:r>
        <w:t xml:space="preserve"> RACs essentially shifts Virginia’s regulatory framework more towards a formula rate plan, which is the antithesis of an MRP. </w:t>
      </w:r>
      <w:r w:rsidR="008F3AAB">
        <w:t>Formula rate plans</w:t>
      </w:r>
      <w:r w:rsidR="008F3AAB" w:rsidDel="008F3AAB">
        <w:t xml:space="preserve"> </w:t>
      </w:r>
      <w:r>
        <w:t>allow for a utility to true</w:t>
      </w:r>
      <w:r w:rsidR="008F3AAB">
        <w:t xml:space="preserve"> </w:t>
      </w:r>
      <w:r>
        <w:t xml:space="preserve">up revenues to actual costs. This shifts financial risks to customers and reduces incentives for utilities to control costs. </w:t>
      </w:r>
    </w:p>
    <w:p w14:paraId="3159480E" w14:textId="6CE43D3D" w:rsidR="000576FC" w:rsidRDefault="008F3AAB" w:rsidP="000576FC">
      <w:r>
        <w:t>Formula rate plans</w:t>
      </w:r>
      <w:r w:rsidDel="008F3AAB">
        <w:t xml:space="preserve"> </w:t>
      </w:r>
      <w:r w:rsidR="000576FC">
        <w:t xml:space="preserve">have </w:t>
      </w:r>
      <w:r>
        <w:t xml:space="preserve">been </w:t>
      </w:r>
      <w:r w:rsidR="000576FC">
        <w:t xml:space="preserve">shown to create negative outcomes for customers in other jurisdictions. For example, in Arkansas, Entergy had </w:t>
      </w:r>
      <w:r>
        <w:t>a formula rate plan</w:t>
      </w:r>
      <w:r w:rsidR="000576FC">
        <w:t xml:space="preserve"> with annual rate </w:t>
      </w:r>
      <w:proofErr w:type="gramStart"/>
      <w:r w:rsidR="000576FC">
        <w:t>true-ups</w:t>
      </w:r>
      <w:proofErr w:type="gramEnd"/>
      <w:r w:rsidR="000576FC">
        <w:t xml:space="preserve"> capped at 4 percent each year. The Arkansas commission staff found that the </w:t>
      </w:r>
      <w:r>
        <w:t>formula rate plan</w:t>
      </w:r>
      <w:r w:rsidDel="008F3AAB">
        <w:t xml:space="preserve"> </w:t>
      </w:r>
      <w:r w:rsidR="000576FC">
        <w:t xml:space="preserve">incentivized spending and </w:t>
      </w:r>
      <w:r w:rsidR="00AF34A0">
        <w:t>created an</w:t>
      </w:r>
      <w:r w:rsidR="000576FC">
        <w:t xml:space="preserve"> outcome of a 4 percent increase each year (over the prior year</w:t>
      </w:r>
      <w:r w:rsidR="00AF34A0">
        <w:t>)</w:t>
      </w:r>
      <w:r w:rsidR="000576FC">
        <w:t xml:space="preserve">. Staff further concluded that the unstated implication of the </w:t>
      </w:r>
      <w:r>
        <w:t>formula rate plan</w:t>
      </w:r>
      <w:r w:rsidDel="008F3AAB">
        <w:t xml:space="preserve"> </w:t>
      </w:r>
      <w:r w:rsidR="000576FC">
        <w:t>is that the risk of an earnings review is effectively eliminated.</w:t>
      </w:r>
      <w:r w:rsidR="000576FC">
        <w:rPr>
          <w:rStyle w:val="FootnoteReference"/>
        </w:rPr>
        <w:footnoteReference w:id="12"/>
      </w:r>
      <w:r w:rsidR="000576FC">
        <w:t xml:space="preserve"> The Maryland Public Service Commission also noted that problems with formula rate plans include “tendency to shift financial risks toward customers, a concern that automatic adjustments may curtail the </w:t>
      </w:r>
      <w:r w:rsidR="000576FC" w:rsidRPr="000576FC">
        <w:t>thorough review of utility costs, and reduced incentives for utilities to control costs</w:t>
      </w:r>
      <w:r w:rsidR="000576FC">
        <w:t>.”</w:t>
      </w:r>
      <w:r w:rsidR="000576FC">
        <w:rPr>
          <w:rStyle w:val="FootnoteReference"/>
        </w:rPr>
        <w:footnoteReference w:id="13"/>
      </w:r>
    </w:p>
    <w:p w14:paraId="3000A66E" w14:textId="23FD8F1F" w:rsidR="0041520E" w:rsidRDefault="0041520E" w:rsidP="0041520E">
      <w:pPr>
        <w:pStyle w:val="Heading4"/>
      </w:pPr>
      <w:r>
        <w:t>Recommendations for Virginia</w:t>
      </w:r>
    </w:p>
    <w:p w14:paraId="6DF569EF" w14:textId="0AD789C1" w:rsidR="7B5557BC" w:rsidRDefault="000576FC" w:rsidP="00AF34A0">
      <w:r>
        <w:t>If Virigina decides to move forward with the development of an MRP framework</w:t>
      </w:r>
      <w:r w:rsidR="00AF34A0">
        <w:t>,</w:t>
      </w:r>
      <w:r>
        <w:t xml:space="preserve"> it is imperative </w:t>
      </w:r>
      <w:r w:rsidR="00B12859">
        <w:t>that trackers</w:t>
      </w:r>
      <w:r w:rsidR="008F3AAB">
        <w:t>—</w:t>
      </w:r>
      <w:r w:rsidR="00AF34A0">
        <w:t>r</w:t>
      </w:r>
      <w:r w:rsidR="00AF34A0" w:rsidRPr="00AF34A0">
        <w:t>ecurring pass‐through or mandated costs</w:t>
      </w:r>
      <w:r w:rsidR="008E1ADE">
        <w:t xml:space="preserve"> such as RPS or pensions</w:t>
      </w:r>
      <w:r w:rsidR="008F3AAB">
        <w:t>;</w:t>
      </w:r>
      <w:r w:rsidR="00AF34A0">
        <w:t xml:space="preserve"> or o</w:t>
      </w:r>
      <w:r w:rsidR="00AF34A0" w:rsidRPr="00AF34A0">
        <w:t xml:space="preserve">ne‐time extraordinary </w:t>
      </w:r>
      <w:r w:rsidR="00AF34A0" w:rsidRPr="00AF34A0">
        <w:lastRenderedPageBreak/>
        <w:t>costs</w:t>
      </w:r>
      <w:r w:rsidR="008F3AAB">
        <w:t>—</w:t>
      </w:r>
      <w:r w:rsidR="00B12859">
        <w:t>are</w:t>
      </w:r>
      <w:r>
        <w:t xml:space="preserve"> included in the MRP’s revenue requirement to help </w:t>
      </w:r>
      <w:r w:rsidR="7B5557BC">
        <w:t>rebalance risk across utility customers and shareholders</w:t>
      </w:r>
      <w:r w:rsidR="008F3AAB">
        <w:t>.</w:t>
      </w:r>
    </w:p>
    <w:p w14:paraId="47FE6910" w14:textId="604ED8F3" w:rsidR="00AF34A0" w:rsidRDefault="00AF34A0" w:rsidP="000576FC">
      <w:r>
        <w:t xml:space="preserve">There are several examples of utilities including </w:t>
      </w:r>
      <w:r w:rsidR="0041520E">
        <w:t xml:space="preserve">capital </w:t>
      </w:r>
      <w:r w:rsidR="00B12859">
        <w:t>projects</w:t>
      </w:r>
      <w:r w:rsidR="0041520E">
        <w:t>, including those related to generation plants, within an MRP. For example, Florida Power &amp; Light (FPL) recovers costs associated with s</w:t>
      </w:r>
      <w:r w:rsidR="0041520E" w:rsidRPr="0041520E">
        <w:t xml:space="preserve">olar and </w:t>
      </w:r>
      <w:r w:rsidR="0041520E">
        <w:t>b</w:t>
      </w:r>
      <w:r w:rsidR="0041520E" w:rsidRPr="0041520E">
        <w:t xml:space="preserve">attery </w:t>
      </w:r>
      <w:r w:rsidR="0041520E">
        <w:t>g</w:t>
      </w:r>
      <w:r w:rsidR="0041520E" w:rsidRPr="0041520E">
        <w:t>eneration installations</w:t>
      </w:r>
      <w:r w:rsidR="0041520E">
        <w:t xml:space="preserve"> within its MRP.</w:t>
      </w:r>
      <w:r w:rsidR="001724D2">
        <w:rPr>
          <w:rStyle w:val="FootnoteReference"/>
        </w:rPr>
        <w:footnoteReference w:id="14"/>
      </w:r>
      <w:r w:rsidR="0041520E">
        <w:t xml:space="preserve"> </w:t>
      </w:r>
      <w:r w:rsidR="001724D2">
        <w:t>Pacific Gas and Electric</w:t>
      </w:r>
      <w:r w:rsidR="00A73DA6">
        <w:t xml:space="preserve"> </w:t>
      </w:r>
      <w:r w:rsidR="001724D2">
        <w:t>Company (</w:t>
      </w:r>
      <w:r w:rsidR="0041520E">
        <w:t>PG&amp;E</w:t>
      </w:r>
      <w:r w:rsidR="001724D2">
        <w:t>)</w:t>
      </w:r>
      <w:r w:rsidR="0041520E">
        <w:t xml:space="preserve"> includes capital</w:t>
      </w:r>
      <w:r w:rsidR="008F3AAB">
        <w:t>-</w:t>
      </w:r>
      <w:r w:rsidR="0041520E">
        <w:t xml:space="preserve">related costs associated with </w:t>
      </w:r>
      <w:r w:rsidR="001724D2">
        <w:t>natural gas and solar capital expenditures in its MRP.</w:t>
      </w:r>
      <w:r w:rsidR="001724D2">
        <w:rPr>
          <w:rStyle w:val="FootnoteReference"/>
        </w:rPr>
        <w:footnoteReference w:id="15"/>
      </w:r>
      <w:r w:rsidR="001724D2">
        <w:t xml:space="preserve"> In addition, Duke Progress NC has </w:t>
      </w:r>
      <w:r w:rsidR="001724D2" w:rsidRPr="001724D2">
        <w:t xml:space="preserve">“MYRP Projects” covering generation, energy storage, and distribution among other areas </w:t>
      </w:r>
      <w:r w:rsidR="001724D2">
        <w:t>included in the MRP revenue requirement.</w:t>
      </w:r>
      <w:r w:rsidR="001724D2">
        <w:rPr>
          <w:rStyle w:val="FootnoteReference"/>
        </w:rPr>
        <w:footnoteReference w:id="16"/>
      </w:r>
    </w:p>
    <w:p w14:paraId="1DA56C49" w14:textId="11B3A523" w:rsidR="000576FC" w:rsidRDefault="001724D2">
      <w:r>
        <w:t xml:space="preserve">The next design element covered in the following section will examine different methods for how costs currently recovered through </w:t>
      </w:r>
      <w:r w:rsidR="00B12859">
        <w:t>trackers</w:t>
      </w:r>
      <w:r>
        <w:t xml:space="preserve"> should be forecasted over the MRP period.</w:t>
      </w:r>
      <w:r w:rsidR="00EC2266">
        <w:t xml:space="preserve"> </w:t>
      </w:r>
    </w:p>
    <w:p w14:paraId="03D8E7ED" w14:textId="193BEB37" w:rsidR="00732FB4" w:rsidRDefault="7B5557BC" w:rsidP="7B5557BC">
      <w:pPr>
        <w:pStyle w:val="Heading3"/>
      </w:pPr>
      <w:r>
        <w:t xml:space="preserve">Attrition </w:t>
      </w:r>
      <w:r w:rsidR="00CA171D">
        <w:t xml:space="preserve">relief mechanism </w:t>
      </w:r>
    </w:p>
    <w:p w14:paraId="03DE65BE" w14:textId="7E86D7ED" w:rsidR="001724D2" w:rsidRDefault="001724D2" w:rsidP="001724D2">
      <w:pPr>
        <w:pStyle w:val="Heading4"/>
      </w:pPr>
      <w:r>
        <w:t>Overview</w:t>
      </w:r>
    </w:p>
    <w:p w14:paraId="38BE7D74" w14:textId="4E468EBA" w:rsidR="009A0DB2" w:rsidRDefault="7B5557BC" w:rsidP="00732FB4">
      <w:r>
        <w:t xml:space="preserve">Attrition relief mechanisms </w:t>
      </w:r>
      <w:r w:rsidR="001724D2">
        <w:t xml:space="preserve">(ARM) </w:t>
      </w:r>
      <w:r>
        <w:t xml:space="preserve">escalate a utility’s allowed revenues over the course of an MRP. The ARM can be based on either an external price index or a cost forecast. With cost forecasts, information asymmetry is a serious concern, which has led many jurisdictions to opt for an index-based approach. </w:t>
      </w:r>
    </w:p>
    <w:p w14:paraId="0A574F88" w14:textId="14665BBC" w:rsidR="007C702F" w:rsidRDefault="007C702F" w:rsidP="007C702F">
      <w:pPr>
        <w:pStyle w:val="Heading5"/>
      </w:pPr>
      <w:r>
        <w:t>Cost forecasts</w:t>
      </w:r>
    </w:p>
    <w:p w14:paraId="035D6517" w14:textId="62AF70E2" w:rsidR="007C702F" w:rsidRDefault="007C702F" w:rsidP="007C702F">
      <w:r>
        <w:t>An ARM based on forecasts increases revenue by predetermined percentages in each plan</w:t>
      </w:r>
      <w:r w:rsidR="001E4074">
        <w:t>-</w:t>
      </w:r>
      <w:r>
        <w:t xml:space="preserve">year based, at least in part, on a utility’s cost projections. The percentages can be different in each year, or the total increase can be levelized across the years. </w:t>
      </w:r>
    </w:p>
    <w:p w14:paraId="501A29F6" w14:textId="21A086C3" w:rsidR="007C702F" w:rsidRDefault="007C702F" w:rsidP="0062184B">
      <w:r>
        <w:t xml:space="preserve">To determine the revenue requirement for each year, </w:t>
      </w:r>
      <w:r w:rsidR="001E4074">
        <w:t xml:space="preserve">the ARM must account for </w:t>
      </w:r>
      <w:r>
        <w:t>both older capital investments (i.e., depreciation expense</w:t>
      </w:r>
      <w:r w:rsidR="001E4074">
        <w:t>s</w:t>
      </w:r>
      <w:r>
        <w:t>) and new capital additions. Depreciation expense</w:t>
      </w:r>
      <w:r w:rsidR="001E4074">
        <w:t>s</w:t>
      </w:r>
      <w:r>
        <w:t xml:space="preserve"> </w:t>
      </w:r>
      <w:r w:rsidR="001E4074">
        <w:t xml:space="preserve">are </w:t>
      </w:r>
      <w:r>
        <w:t xml:space="preserve">straight-forward to calculate, as older capital simply continues to depreciate. </w:t>
      </w:r>
    </w:p>
    <w:p w14:paraId="2BC3D068" w14:textId="32BB5C01" w:rsidR="007C702F" w:rsidRDefault="007C702F" w:rsidP="007C702F">
      <w:r>
        <w:t>ARMs based on cost forecasts enable the utility’s revenues to accommodate unusual investment trajectories, such as a capital investment surge. Since the ARM generally operates as a cap on revenues, it provides an incentive for the utility to ensure that actual investment costs are kept under the cost cap</w:t>
      </w:r>
      <w:r w:rsidR="001E4074">
        <w:t>. This is</w:t>
      </w:r>
      <w:r w:rsidR="0062184B">
        <w:t xml:space="preserve"> a benefit over the use of cost trackers. </w:t>
      </w:r>
      <w:r>
        <w:t xml:space="preserve">However, </w:t>
      </w:r>
      <w:r w:rsidR="0062184B">
        <w:t xml:space="preserve">the </w:t>
      </w:r>
      <w:r w:rsidR="0062184B" w:rsidRPr="0062184B">
        <w:t>use of a utility-specific cost forecast exacerbates information asymmetries since the</w:t>
      </w:r>
      <w:r w:rsidR="0062184B">
        <w:t xml:space="preserve"> </w:t>
      </w:r>
      <w:r w:rsidR="0062184B" w:rsidRPr="0062184B">
        <w:t>utility will always have the most technical knowledge and information regarding its systems</w:t>
      </w:r>
      <w:r w:rsidR="001E4074">
        <w:t>. This</w:t>
      </w:r>
      <w:r w:rsidR="0062184B" w:rsidRPr="0062184B">
        <w:t xml:space="preserve"> creates challenges for the intervening parties and regulators </w:t>
      </w:r>
      <w:r w:rsidR="001E4074">
        <w:lastRenderedPageBreak/>
        <w:t>in ensuring</w:t>
      </w:r>
      <w:r w:rsidR="0062184B" w:rsidRPr="0062184B">
        <w:t xml:space="preserve"> that cost forecasts are reasonabl</w:t>
      </w:r>
      <w:r w:rsidR="0062184B">
        <w:t>e</w:t>
      </w:r>
      <w:r w:rsidR="001E4074">
        <w:t>,</w:t>
      </w:r>
      <w:r>
        <w:t xml:space="preserve"> as it is difficult to </w:t>
      </w:r>
      <w:r w:rsidR="001E4074">
        <w:t xml:space="preserve">ascertain if </w:t>
      </w:r>
      <w:r>
        <w:t xml:space="preserve">forecasts are reasonable </w:t>
      </w:r>
      <w:r w:rsidR="004F1FB0">
        <w:t xml:space="preserve">without </w:t>
      </w:r>
      <w:r w:rsidR="001E4074">
        <w:t>sufficient</w:t>
      </w:r>
      <w:r>
        <w:t xml:space="preserve"> information.</w:t>
      </w:r>
      <w:r w:rsidR="0062184B">
        <w:t xml:space="preserve"> </w:t>
      </w:r>
      <w:r w:rsidR="001E4074">
        <w:t>T</w:t>
      </w:r>
      <w:r>
        <w:t xml:space="preserve">he National Regulatory Research Institute describes this issue as follows: </w:t>
      </w:r>
    </w:p>
    <w:p w14:paraId="121EF1B0" w14:textId="77777777" w:rsidR="007C702F" w:rsidRDefault="007C702F" w:rsidP="007C702F">
      <w:pPr>
        <w:ind w:left="1440" w:right="1440"/>
        <w:jc w:val="both"/>
      </w:pPr>
      <w:r w:rsidRPr="00723FE6">
        <w:t>Information asymmetry reflects the relatively less knowledge that a regulator has (relative to the utility’s) on the correlation between</w:t>
      </w:r>
      <w:r>
        <w:t xml:space="preserve"> </w:t>
      </w:r>
      <w:r w:rsidRPr="00723FE6">
        <w:t>forecasted costs and utility-management competence. When a utility files a cost forecast, how does the regulator know whether it reflects competent management? The analyst or auditor can evaluate the forecast applying state-of-the-art techniques; still, however, a level of uncertainty remains that leaves unknown the utility’s level of managerial competence embedded in the forecast.</w:t>
      </w:r>
      <w:r w:rsidRPr="00F20E17">
        <w:rPr>
          <w:rStyle w:val="FootnoteReference"/>
        </w:rPr>
        <w:footnoteReference w:id="17"/>
      </w:r>
    </w:p>
    <w:p w14:paraId="6FC427D3" w14:textId="7499A57C" w:rsidR="0062184B" w:rsidRDefault="004F1FB0" w:rsidP="0062184B">
      <w:r>
        <w:t>The</w:t>
      </w:r>
      <w:r w:rsidR="0062184B">
        <w:t xml:space="preserve"> extreme difficult</w:t>
      </w:r>
      <w:r>
        <w:t xml:space="preserve">y of ensuring the accuracy of </w:t>
      </w:r>
      <w:r w:rsidR="0062184B">
        <w:t>a utility’s cost forecasts</w:t>
      </w:r>
      <w:r>
        <w:t xml:space="preserve"> </w:t>
      </w:r>
      <w:r w:rsidR="0062184B">
        <w:t xml:space="preserve">places customers at risk that the allowed MRP revenues will be set too high. Because regulators and any intervening parties can never completely vet the accuracy of cost forecasts, utilities have an inherent bias to overstate their costs and understate revenues. When a utility’s rate of return is greater than the cost of borrowing, utilities have a financial incentive to maximize their capital expenditures </w:t>
      </w:r>
      <w:proofErr w:type="gramStart"/>
      <w:r w:rsidR="0062184B">
        <w:t>in order to</w:t>
      </w:r>
      <w:proofErr w:type="gramEnd"/>
      <w:r w:rsidR="0062184B">
        <w:t xml:space="preserve"> increase rate base and thereby increase profits. This is often referred to as the Averch-Johnson effect.</w:t>
      </w:r>
      <w:r w:rsidR="009401EA">
        <w:rPr>
          <w:rStyle w:val="FootnoteReference"/>
        </w:rPr>
        <w:footnoteReference w:id="18"/>
      </w:r>
    </w:p>
    <w:p w14:paraId="482AA07D" w14:textId="33297F0D" w:rsidR="007C702F" w:rsidRDefault="0062184B" w:rsidP="009401EA">
      <w:r>
        <w:t xml:space="preserve">There are ways to help mitigate these risks within an MRP. </w:t>
      </w:r>
      <w:r w:rsidR="009401EA">
        <w:t>For example,</w:t>
      </w:r>
      <w:r w:rsidR="009401EA" w:rsidRPr="009401EA">
        <w:t xml:space="preserve"> in addition to the current </w:t>
      </w:r>
      <w:r w:rsidR="004F1FB0">
        <w:t>integrated resource plans</w:t>
      </w:r>
      <w:r w:rsidR="009401EA" w:rsidRPr="009401EA">
        <w:t>, utilities could file integrated distribution plan</w:t>
      </w:r>
      <w:r w:rsidR="008A1494">
        <w:t>s</w:t>
      </w:r>
      <w:r w:rsidR="009401EA" w:rsidRPr="009401EA">
        <w:t xml:space="preserve"> </w:t>
      </w:r>
      <w:r w:rsidR="008A1494">
        <w:t xml:space="preserve">that would allow interested parties to review the assumptions, forecasts, and planned investments prior to such project costs showing up in the MRP. Other options include having the </w:t>
      </w:r>
      <w:r w:rsidR="009401EA">
        <w:t>r</w:t>
      </w:r>
      <w:r w:rsidR="007C702F">
        <w:t>egulator conduct independent benchmarking and engineering studies to determine the reasonableness of cost forecasts</w:t>
      </w:r>
      <w:r w:rsidR="008A1494">
        <w:t xml:space="preserve"> or</w:t>
      </w:r>
      <w:r w:rsidR="007C702F">
        <w:t xml:space="preserve"> check the accuracy of past cost forecasts and create performance incentive mechanisms</w:t>
      </w:r>
      <w:r w:rsidR="00CA171D">
        <w:t xml:space="preserve"> (PIM)</w:t>
      </w:r>
      <w:r w:rsidR="007C702F">
        <w:t xml:space="preserve"> for forecasting accuracy. </w:t>
      </w:r>
    </w:p>
    <w:p w14:paraId="7A21F267" w14:textId="124F1970" w:rsidR="007C702F" w:rsidRDefault="007C702F" w:rsidP="007C702F">
      <w:pPr>
        <w:pStyle w:val="Heading5"/>
      </w:pPr>
      <w:r>
        <w:t>Index-based approaches</w:t>
      </w:r>
    </w:p>
    <w:p w14:paraId="5F813E14" w14:textId="73A70E8B" w:rsidR="007C702F" w:rsidRDefault="007C702F" w:rsidP="007C702F">
      <w:r>
        <w:t xml:space="preserve">External indexes have historically been the preferred means by which to set a utility’s allowed revenue requirements for future years of an MRP. In some cases, </w:t>
      </w:r>
      <w:r w:rsidR="004F1FB0">
        <w:t xml:space="preserve">MRPs escalate </w:t>
      </w:r>
      <w:r>
        <w:t>different categories of costs at different rates based on separate cost indexes. For example, IHS Global Insights provides cost</w:t>
      </w:r>
      <w:r w:rsidR="004F1FB0">
        <w:t>-</w:t>
      </w:r>
      <w:r>
        <w:t xml:space="preserve">escalation forecasts that are specific to the utility industry and are broken out by category of cost. </w:t>
      </w:r>
    </w:p>
    <w:p w14:paraId="6A115A72" w14:textId="2B0FC830" w:rsidR="007C702F" w:rsidRDefault="007C702F" w:rsidP="007C702F">
      <w:r>
        <w:t xml:space="preserve">Indexes may be coupled with a “productivity factor.” This productivity factor is often denoted as “X” and generally reflects the multifactor productivity of a group of peer utilities. In addition, a stretch factor (or </w:t>
      </w:r>
      <w:r>
        <w:lastRenderedPageBreak/>
        <w:t>“</w:t>
      </w:r>
      <w:r w:rsidRPr="00227674">
        <w:t>consumer dividend</w:t>
      </w:r>
      <w:r>
        <w:t xml:space="preserve">”) may be added to the productivity factor </w:t>
      </w:r>
      <w:proofErr w:type="gramStart"/>
      <w:r>
        <w:t>in order to</w:t>
      </w:r>
      <w:proofErr w:type="gramEnd"/>
      <w:r>
        <w:t xml:space="preserve"> provide customers with a share of the benefit of the stronger performance incentives expected under the plan.</w:t>
      </w:r>
      <w:r w:rsidRPr="00F20E17">
        <w:rPr>
          <w:rStyle w:val="FootnoteReference"/>
        </w:rPr>
        <w:footnoteReference w:id="19"/>
      </w:r>
      <w:r>
        <w:t xml:space="preserve"> </w:t>
      </w:r>
    </w:p>
    <w:p w14:paraId="36C7AD51" w14:textId="7FF34E5C" w:rsidR="007C702F" w:rsidRDefault="7B5557BC" w:rsidP="007C702F">
      <w:r>
        <w:t>Escalating allowed revenues based on an external index permits the utility to continue making necessary investments and avoid revenue attrition, while avoiding concerns regarding strategic behavior (i.e., gaming of forecasts) and information asymmetry that are present in forecast-based ARMs.</w:t>
      </w:r>
    </w:p>
    <w:p w14:paraId="4AD73152" w14:textId="3007EC2F" w:rsidR="008A1494" w:rsidRDefault="008A1494" w:rsidP="008A1494">
      <w:pPr>
        <w:pStyle w:val="Heading5"/>
      </w:pPr>
      <w:r>
        <w:t xml:space="preserve">Hybrid approach </w:t>
      </w:r>
    </w:p>
    <w:p w14:paraId="5CA541B9" w14:textId="0F905F44" w:rsidR="008A1494" w:rsidRDefault="008A1494" w:rsidP="008A1494">
      <w:r>
        <w:t xml:space="preserve">Not all costs categories within an MRP need to be escalated in the same way. Some MRPs have O&amp;M costs escalated using an external index and capital costs escalated using a </w:t>
      </w:r>
      <w:r w:rsidR="006E40A1">
        <w:t>utility</w:t>
      </w:r>
      <w:r>
        <w:t>-specific forecast. For example, Southern California Edison (SCE) escalated non-labor O&amp;M based on an IHS Global Insight index</w:t>
      </w:r>
      <w:r w:rsidR="006E40A1">
        <w:t>. On the other hand, c</w:t>
      </w:r>
      <w:r>
        <w:t>apital-related cost</w:t>
      </w:r>
      <w:r w:rsidR="006E40A1">
        <w:t>s</w:t>
      </w:r>
      <w:r>
        <w:t xml:space="preserve"> are escalated based on a composite rate developed from IHS Global Insight forecasts of the Handy-Whitman Index and a utility-specific index based on recorded General Plant costs for recent years</w:t>
      </w:r>
      <w:r w:rsidR="006E40A1" w:rsidRPr="006E40A1">
        <w:t xml:space="preserve"> as recorded in SCE’s FERC Form 1</w:t>
      </w:r>
      <w:r w:rsidR="006E40A1">
        <w:t>. Those escalation rates are then averaged for the plan term and applied to test</w:t>
      </w:r>
      <w:r w:rsidR="004F1FB0">
        <w:t>-</w:t>
      </w:r>
      <w:r w:rsidR="006E40A1">
        <w:t>year capital additions.</w:t>
      </w:r>
      <w:r w:rsidR="006E40A1">
        <w:rPr>
          <w:rStyle w:val="FootnoteReference"/>
        </w:rPr>
        <w:footnoteReference w:id="20"/>
      </w:r>
    </w:p>
    <w:p w14:paraId="31F57AD9" w14:textId="26ED984C" w:rsidR="7B5557BC" w:rsidRDefault="7B5557BC" w:rsidP="7B5557BC">
      <w:pPr>
        <w:pStyle w:val="Heading4"/>
        <w:rPr>
          <w:color w:val="FF0000"/>
        </w:rPr>
      </w:pPr>
      <w:r>
        <w:t xml:space="preserve">Recommendations for Virginia </w:t>
      </w:r>
    </w:p>
    <w:p w14:paraId="7FB2AD2F" w14:textId="2B1EA7EB" w:rsidR="00335BE0" w:rsidRDefault="00335BE0" w:rsidP="006E40A1">
      <w:r>
        <w:t>It may be reasonable for the costs contained in the</w:t>
      </w:r>
      <w:r w:rsidRPr="00335BE0">
        <w:t xml:space="preserve"> biennial rate review </w:t>
      </w:r>
      <w:r>
        <w:t>to be</w:t>
      </w:r>
      <w:r w:rsidRPr="00335BE0">
        <w:t xml:space="preserve"> escalated using the index approach. </w:t>
      </w:r>
      <w:r>
        <w:t xml:space="preserve">However, Virginia is </w:t>
      </w:r>
      <w:r w:rsidR="004F1FB0">
        <w:t xml:space="preserve">currently </w:t>
      </w:r>
      <w:r>
        <w:t xml:space="preserve">experiencing </w:t>
      </w:r>
      <w:r w:rsidR="004F1FB0">
        <w:t xml:space="preserve">large </w:t>
      </w:r>
      <w:r>
        <w:t xml:space="preserve">increases in load, particularly from data centers. Because of this, traditional index-based revenue escalation methods may </w:t>
      </w:r>
      <w:r w:rsidR="004F1FB0">
        <w:t>not</w:t>
      </w:r>
      <w:r>
        <w:t xml:space="preserve"> provide sufficient revenues for utilities. </w:t>
      </w:r>
    </w:p>
    <w:p w14:paraId="62011F77" w14:textId="10A75063" w:rsidR="006E40A1" w:rsidRDefault="00335BE0" w:rsidP="006E40A1">
      <w:r>
        <w:t xml:space="preserve">Specific to RACs, </w:t>
      </w:r>
      <w:r w:rsidR="00A13B52">
        <w:t xml:space="preserve">the </w:t>
      </w:r>
      <w:r w:rsidR="006E40A1">
        <w:t xml:space="preserve">utilities already have revenue requirement forecasts associated with </w:t>
      </w:r>
      <w:r w:rsidR="009A10FD">
        <w:t>the project</w:t>
      </w:r>
      <w:r w:rsidR="004F1FB0">
        <w:t xml:space="preserve"> costs</w:t>
      </w:r>
      <w:r w:rsidR="009A10FD">
        <w:t xml:space="preserve"> being recovered </w:t>
      </w:r>
      <w:r w:rsidR="00A13B52">
        <w:t xml:space="preserve">through these trackers. Therefore, the forecasted revenue needs associated with the projects included in RACs can </w:t>
      </w:r>
      <w:r w:rsidR="004F1FB0">
        <w:t>inform</w:t>
      </w:r>
      <w:r w:rsidR="00A13B52">
        <w:t xml:space="preserve"> </w:t>
      </w:r>
      <w:r w:rsidR="00B12859">
        <w:t>develop</w:t>
      </w:r>
      <w:r w:rsidR="004F1FB0">
        <w:t>ment of</w:t>
      </w:r>
      <w:r w:rsidR="00B12859">
        <w:t xml:space="preserve"> </w:t>
      </w:r>
      <w:r w:rsidR="00A13B52">
        <w:t xml:space="preserve">the </w:t>
      </w:r>
      <w:r w:rsidR="00B12859">
        <w:t xml:space="preserve">MRP </w:t>
      </w:r>
      <w:r w:rsidR="00A13B52">
        <w:t xml:space="preserve">revenue requirement. </w:t>
      </w:r>
      <w:r w:rsidR="009A10FD">
        <w:t xml:space="preserve">Planned new capital plant additions not currently being recovered through </w:t>
      </w:r>
      <w:r w:rsidR="00B12859">
        <w:t>RACs</w:t>
      </w:r>
      <w:r w:rsidR="009A10FD">
        <w:t xml:space="preserve"> could be forecasted in the same manner. As indicated above, FPL, PG&amp;E, and Duke Progress NC use company-specific cost forecasts for capital generation costs within MRPs.</w:t>
      </w:r>
      <w:r w:rsidR="00EC2266">
        <w:t xml:space="preserve"> </w:t>
      </w:r>
    </w:p>
    <w:p w14:paraId="3752E1F7" w14:textId="07D43267" w:rsidR="00A13B52" w:rsidRDefault="00A13B52" w:rsidP="00A13B52">
      <w:r>
        <w:t xml:space="preserve">As indicated above, </w:t>
      </w:r>
      <w:r w:rsidR="00293806">
        <w:t xml:space="preserve">determining </w:t>
      </w:r>
      <w:r>
        <w:t>MRP revenues based on utility cost forecasts shift</w:t>
      </w:r>
      <w:r w:rsidR="00293806">
        <w:t>s</w:t>
      </w:r>
      <w:r>
        <w:t xml:space="preserve"> risk to customers. </w:t>
      </w:r>
      <w:r w:rsidR="00293806">
        <w:t>To</w:t>
      </w:r>
      <w:r>
        <w:t xml:space="preserve"> address this risk we recommend that Virginia utilities conduct transparent, integrated planning at the generation, transmission, and distribution levels</w:t>
      </w:r>
      <w:r w:rsidR="00293806">
        <w:t>, provided</w:t>
      </w:r>
      <w:r>
        <w:t xml:space="preserve"> this planning exercise results in thorough evaluation of all resources (including non-wires alternatives) and a clear investment plan.</w:t>
      </w:r>
      <w:r w:rsidR="00EC2266">
        <w:t xml:space="preserve"> </w:t>
      </w:r>
    </w:p>
    <w:p w14:paraId="268EFD38" w14:textId="77777777" w:rsidR="00732FB4" w:rsidRDefault="7B5557BC" w:rsidP="7B5557BC">
      <w:pPr>
        <w:pStyle w:val="Heading3"/>
      </w:pPr>
      <w:r>
        <w:lastRenderedPageBreak/>
        <w:t xml:space="preserve">Reconciliation </w:t>
      </w:r>
    </w:p>
    <w:p w14:paraId="66D2A6A1" w14:textId="5A3B5E42" w:rsidR="00335BE0" w:rsidRDefault="00335BE0" w:rsidP="00335BE0">
      <w:pPr>
        <w:pStyle w:val="Heading4"/>
      </w:pPr>
      <w:r>
        <w:t xml:space="preserve">Overview </w:t>
      </w:r>
    </w:p>
    <w:p w14:paraId="08E4C8C9" w14:textId="70FE4CBB" w:rsidR="00D6222F" w:rsidRDefault="00C86DE7" w:rsidP="00C04852">
      <w:r>
        <w:t xml:space="preserve">Allowing a utility to reconcile spending </w:t>
      </w:r>
      <w:proofErr w:type="gramStart"/>
      <w:r>
        <w:t>in excess of</w:t>
      </w:r>
      <w:proofErr w:type="gramEnd"/>
      <w:r>
        <w:t xml:space="preserve"> the allowed MRP revenue requirement </w:t>
      </w:r>
      <w:r w:rsidR="00335BE0">
        <w:t xml:space="preserve">undermines any cost-containment incentive. </w:t>
      </w:r>
      <w:r w:rsidR="00D6222F">
        <w:t>When reconciliations are used, the MRP resembles more of a broad-based cost tracker and loses its ability to encourage cost efficiencies.</w:t>
      </w:r>
    </w:p>
    <w:p w14:paraId="4BC807E6" w14:textId="603B9FAD" w:rsidR="00C04852" w:rsidRDefault="00D6222F" w:rsidP="00527396">
      <w:r>
        <w:t xml:space="preserve">However, some jurisdictions </w:t>
      </w:r>
      <w:r w:rsidR="00335BE0">
        <w:t>utilize</w:t>
      </w:r>
      <w:r>
        <w:t xml:space="preserve"> one-way (downward) reconciliations when </w:t>
      </w:r>
      <w:r w:rsidR="00335BE0">
        <w:t>utility-</w:t>
      </w:r>
      <w:r w:rsidR="00C04852">
        <w:t>cost forecasts are used to protect customers from</w:t>
      </w:r>
      <w:r>
        <w:t xml:space="preserve"> the risk that utilities have overstated the cost forecast</w:t>
      </w:r>
      <w:r w:rsidR="00C04852">
        <w:t>.</w:t>
      </w:r>
      <w:r w:rsidR="003730FA">
        <w:rPr>
          <w:rStyle w:val="FootnoteReference"/>
        </w:rPr>
        <w:footnoteReference w:id="21"/>
      </w:r>
      <w:r w:rsidR="00C04852" w:rsidRPr="00EE3310">
        <w:t xml:space="preserve"> </w:t>
      </w:r>
      <w:r w:rsidR="00604D61">
        <w:t xml:space="preserve">For example, Con Edison’s three-year MRP includes a “Net Plant Reconciliation Mechanism” or “claw-back mechanism.” A downward-only reconciliation is required if </w:t>
      </w:r>
      <w:r w:rsidR="00527396">
        <w:t>Con Edison’s actual expenditures for electric and gas capital programs and projects result in actual net that is less than the amount originally forecasted in the MRP filing. The company will defer the carrying costs associated with the difference for the benefit of ratepayers.</w:t>
      </w:r>
      <w:r w:rsidR="00527396">
        <w:rPr>
          <w:rStyle w:val="FootnoteReference"/>
        </w:rPr>
        <w:footnoteReference w:id="22"/>
      </w:r>
      <w:r w:rsidR="00527396">
        <w:t xml:space="preserve"> </w:t>
      </w:r>
      <w:r w:rsidR="00C04852">
        <w:t>A one-way reconciliation mechanism reduces the benefit that the utility receives from inflating its cost projections and protects customers from utility under-spend.</w:t>
      </w:r>
      <w:r w:rsidR="00C04852" w:rsidRPr="00E6574A">
        <w:t xml:space="preserve"> </w:t>
      </w:r>
      <w:r w:rsidR="00C04852">
        <w:t>The one-way nature of the reconciliation also encourages the utility to keep costs below the projections and ensures that over-spends are not approved until a prudency review in the subsequent rate case. However, the one-way nature of the reconciliation still incentivizes the utility to inflate its capital projections to ensure that it does not exceed its capital cost forecast. Just as importantly, it provides no incentive to increase efficiency.</w:t>
      </w:r>
      <w:r w:rsidR="00C04852" w:rsidRPr="00F20E17">
        <w:rPr>
          <w:rStyle w:val="FootnoteReference"/>
        </w:rPr>
        <w:footnoteReference w:id="23"/>
      </w:r>
      <w:r w:rsidR="00C04852">
        <w:t xml:space="preserve"> </w:t>
      </w:r>
      <w:r w:rsidR="00785BDF">
        <w:t>Thus, reconciliation mechanisms should generally be avoided in the context of MRPs.</w:t>
      </w:r>
    </w:p>
    <w:p w14:paraId="64640B3A" w14:textId="77777777" w:rsidR="00335BE0" w:rsidRDefault="00335BE0" w:rsidP="00335BE0">
      <w:pPr>
        <w:pStyle w:val="Heading4"/>
        <w:rPr>
          <w:color w:val="FF0000"/>
        </w:rPr>
      </w:pPr>
      <w:r>
        <w:lastRenderedPageBreak/>
        <w:t xml:space="preserve">Recommendations for Virginia </w:t>
      </w:r>
    </w:p>
    <w:p w14:paraId="42415601" w14:textId="51DD0F65" w:rsidR="00335BE0" w:rsidRDefault="00293806" w:rsidP="00335BE0">
      <w:r>
        <w:t>To preserve cost-containment incentives, a</w:t>
      </w:r>
      <w:r w:rsidR="00335BE0">
        <w:t>n MRP framework in Virginia should not</w:t>
      </w:r>
      <w:r w:rsidR="00B12859">
        <w:t xml:space="preserve"> include any </w:t>
      </w:r>
      <w:r w:rsidR="00335BE0">
        <w:t xml:space="preserve">reconciliation. </w:t>
      </w:r>
    </w:p>
    <w:p w14:paraId="713035B2" w14:textId="1496549E" w:rsidR="00043A9A" w:rsidRPr="00732FB4" w:rsidRDefault="7B5557BC" w:rsidP="7B5557BC">
      <w:pPr>
        <w:pStyle w:val="Heading3"/>
      </w:pPr>
      <w:r>
        <w:t xml:space="preserve">Revenue </w:t>
      </w:r>
      <w:r w:rsidR="0013535D">
        <w:t>decoupling</w:t>
      </w:r>
    </w:p>
    <w:p w14:paraId="597518D0" w14:textId="29EA805A" w:rsidR="00A13B52" w:rsidRDefault="00A13B52" w:rsidP="00A13B52">
      <w:pPr>
        <w:pStyle w:val="Heading4"/>
      </w:pPr>
      <w:r>
        <w:t>Overview</w:t>
      </w:r>
    </w:p>
    <w:p w14:paraId="46537C09" w14:textId="7F2E2ED5" w:rsidR="00043A9A" w:rsidRPr="00732FB4" w:rsidRDefault="7B5557BC" w:rsidP="7B5557BC">
      <w:r>
        <w:t xml:space="preserve">Under traditional ratemaking, </w:t>
      </w:r>
      <w:r w:rsidR="006C4B57">
        <w:t xml:space="preserve">the Commission sets </w:t>
      </w:r>
      <w:r>
        <w:t xml:space="preserve">base rates in a base rate </w:t>
      </w:r>
      <w:proofErr w:type="gramStart"/>
      <w:r>
        <w:t>case</w:t>
      </w:r>
      <w:proofErr w:type="gramEnd"/>
      <w:r>
        <w:t xml:space="preserve"> and </w:t>
      </w:r>
      <w:r w:rsidR="006C4B57">
        <w:t xml:space="preserve">these </w:t>
      </w:r>
      <w:r>
        <w:t>remain fixed until the next base rate case. Under this approach, any change in sales between rate cases causes the utility’s revenues to increase or decrease, depending on whether the actual sales exceed or fall below the projections. This approach makes revenue unpredictable.</w:t>
      </w:r>
      <w:r w:rsidR="00EC2266">
        <w:t xml:space="preserve"> </w:t>
      </w:r>
      <w:r>
        <w:t>It also induces the utility to take actions that increase electricity sales (thereby increasing revenues), while avoiding actions that would reduce electricity sales such as energy efficiency or distributed generation.</w:t>
      </w:r>
    </w:p>
    <w:p w14:paraId="04CD5DA7" w14:textId="283C9EDE" w:rsidR="00043A9A" w:rsidRPr="00732FB4" w:rsidRDefault="7B5557BC" w:rsidP="7B5557BC">
      <w:r>
        <w:t xml:space="preserve">Revenue decoupling addresses this problem by severing the direct link between sales and revenues. Under a decoupling mechanism, the utility recovers its authorized revenue requirement independently of fluctuations in customer electricity use. If actual revenues fall short of the authorized amount for any reason (e.g., due to weather, economic conditions, energy efficiency measures, or customer-owned generation), the regulator applies a surcharge to customer bills, </w:t>
      </w:r>
      <w:proofErr w:type="gramStart"/>
      <w:r>
        <w:t>so as to</w:t>
      </w:r>
      <w:proofErr w:type="gramEnd"/>
      <w:r>
        <w:t xml:space="preserve"> produce the missing revenues. Conversely, if revenues exceed the authorized level (e.g., due to higher-than-expected sales from weather or economic growth), customers receive a bill credit.</w:t>
      </w:r>
      <w:r w:rsidR="00EC2266">
        <w:t xml:space="preserve"> </w:t>
      </w:r>
      <w:r>
        <w:t>The decoupling mechanism produces these adjustments through a transparent, formula-based process on an annual or monthly basis.</w:t>
      </w:r>
    </w:p>
    <w:p w14:paraId="1DC910F2" w14:textId="2C594036" w:rsidR="00043A9A" w:rsidRPr="00732FB4" w:rsidRDefault="7B5557BC" w:rsidP="7B5557BC">
      <w:r>
        <w:t>Revenue decoupling neither guarantees utility profits nor automatically raises rates. Rather, it provides greater revenue stability. Moreover, ratemaking with revenue decoupling aligns utility revenues with actual costs more closely than ratemaking without revenue decoupling.</w:t>
      </w:r>
    </w:p>
    <w:p w14:paraId="65969D21" w14:textId="254F3C54" w:rsidR="00A13B52" w:rsidRDefault="00A13B52" w:rsidP="00A13B52">
      <w:pPr>
        <w:pStyle w:val="Heading4"/>
      </w:pPr>
      <w:r>
        <w:t xml:space="preserve">Recommendation for Virgina </w:t>
      </w:r>
    </w:p>
    <w:p w14:paraId="34EDE4BA" w14:textId="4F9CCF8A" w:rsidR="00A13B52" w:rsidRDefault="7B5557BC" w:rsidP="00A13B52">
      <w:r>
        <w:t xml:space="preserve">Although it is not required as part of an MRP, decoupling could improve the current regulatory framework in Virginia. </w:t>
      </w:r>
      <w:r w:rsidR="004147AD">
        <w:t>However, a</w:t>
      </w:r>
      <w:r w:rsidR="00A13B52">
        <w:t xml:space="preserve">s with other MRP design elements, the impact of decoupling will be weakened if the </w:t>
      </w:r>
      <w:r w:rsidR="0013535D">
        <w:t xml:space="preserve">MRP does not include the </w:t>
      </w:r>
      <w:r w:rsidR="00A13B52">
        <w:t xml:space="preserve">revenue requirements included in RACs. </w:t>
      </w:r>
    </w:p>
    <w:p w14:paraId="3CA0FDAF" w14:textId="00C74F4C" w:rsidR="00043A9A" w:rsidRPr="00E3748E" w:rsidRDefault="00E3748E" w:rsidP="7B5557BC">
      <w:pPr>
        <w:rPr>
          <w:i/>
          <w:iCs/>
          <w:color w:val="377FE7" w:themeColor="accent2"/>
        </w:rPr>
      </w:pPr>
      <w:r>
        <w:t xml:space="preserve">While decoupling will help to remove </w:t>
      </w:r>
      <w:r w:rsidR="004147AD">
        <w:t xml:space="preserve">the disincentive for utilities to invest in </w:t>
      </w:r>
      <w:r w:rsidR="00EC2266">
        <w:t>energy efficiency</w:t>
      </w:r>
      <w:r>
        <w:t xml:space="preserve">, it does not </w:t>
      </w:r>
      <w:r w:rsidR="004147AD">
        <w:t xml:space="preserve">create an incentive for them to do so. </w:t>
      </w:r>
      <w:r>
        <w:t xml:space="preserve">Utilities are still incentivized to prefer capital investments to demand-side resources </w:t>
      </w:r>
      <w:proofErr w:type="gramStart"/>
      <w:r>
        <w:t>in order to</w:t>
      </w:r>
      <w:proofErr w:type="gramEnd"/>
      <w:r>
        <w:t xml:space="preserve"> grow rate base and profits. For this reason, it is important that decoupling is implemented along with more aggressive </w:t>
      </w:r>
      <w:r w:rsidR="00EC2266">
        <w:t xml:space="preserve">energy efficiency </w:t>
      </w:r>
      <w:r>
        <w:t>savings targets.</w:t>
      </w:r>
      <w:r w:rsidR="00EC2266">
        <w:t xml:space="preserve"> </w:t>
      </w:r>
    </w:p>
    <w:p w14:paraId="438F794D" w14:textId="1BEA15F0" w:rsidR="00043A9A" w:rsidRPr="00732FB4" w:rsidRDefault="7B5557BC" w:rsidP="7B5557BC">
      <w:pPr>
        <w:pStyle w:val="Heading3"/>
        <w:rPr>
          <w:color w:val="FF0000"/>
        </w:rPr>
      </w:pPr>
      <w:r>
        <w:lastRenderedPageBreak/>
        <w:t xml:space="preserve">Earnings </w:t>
      </w:r>
      <w:r w:rsidR="0013535D">
        <w:t xml:space="preserve">sharing mechanisms </w:t>
      </w:r>
    </w:p>
    <w:p w14:paraId="0A706A2B" w14:textId="59E967F0" w:rsidR="00E3748E" w:rsidRDefault="00E3748E" w:rsidP="00E3748E">
      <w:pPr>
        <w:pStyle w:val="Heading4"/>
      </w:pPr>
      <w:r>
        <w:t xml:space="preserve">Overview </w:t>
      </w:r>
    </w:p>
    <w:p w14:paraId="3B3A75AE" w14:textId="534B7F1D" w:rsidR="00043A9A" w:rsidRPr="00732FB4" w:rsidRDefault="0013535D" w:rsidP="7B5557BC">
      <w:r>
        <w:t>The primary purpose of e</w:t>
      </w:r>
      <w:r w:rsidR="7B5557BC">
        <w:t xml:space="preserve">arnings sharing mechanisms </w:t>
      </w:r>
      <w:r w:rsidR="00C5513F">
        <w:t xml:space="preserve">(ESM) </w:t>
      </w:r>
      <w:r>
        <w:t xml:space="preserve">is </w:t>
      </w:r>
      <w:r w:rsidR="7B5557BC">
        <w:t xml:space="preserve">to ensure that utility earnings do not become excessive during </w:t>
      </w:r>
      <w:r>
        <w:t>MRPs</w:t>
      </w:r>
      <w:r w:rsidR="7B5557BC">
        <w:t xml:space="preserve">. </w:t>
      </w:r>
      <w:proofErr w:type="gramStart"/>
      <w:r w:rsidR="7B5557BC">
        <w:t>The vast majority of</w:t>
      </w:r>
      <w:proofErr w:type="gramEnd"/>
      <w:r w:rsidR="7B5557BC">
        <w:t xml:space="preserve"> these </w:t>
      </w:r>
      <w:r w:rsidR="00524F70">
        <w:t>ESMs</w:t>
      </w:r>
      <w:r w:rsidR="7B5557BC">
        <w:t xml:space="preserve"> are one-way adjustments that cap the potential over-earning of the utility and require that the utility share some of its over-earnings with customers. Although </w:t>
      </w:r>
      <w:r w:rsidR="00524F70">
        <w:t>ESMs</w:t>
      </w:r>
      <w:r w:rsidR="7B5557BC">
        <w:t xml:space="preserve"> reduce risks to customers, they also reduce the utility’s incentive to reduce costs. This is because under an MRP, the utility’s most direct means of increasing earnings is to reduce its costs. An </w:t>
      </w:r>
      <w:r w:rsidR="00524F70">
        <w:t>ESM</w:t>
      </w:r>
      <w:r w:rsidR="7B5557BC">
        <w:t xml:space="preserve"> requires that the utility return some or </w:t>
      </w:r>
      <w:proofErr w:type="gramStart"/>
      <w:r w:rsidR="7B5557BC">
        <w:t>all of</w:t>
      </w:r>
      <w:proofErr w:type="gramEnd"/>
      <w:r w:rsidR="7B5557BC">
        <w:t xml:space="preserve"> these cost savings above a certain threshold to customers. </w:t>
      </w:r>
    </w:p>
    <w:p w14:paraId="3362578F" w14:textId="458FB06B" w:rsidR="00043A9A" w:rsidRPr="00732FB4" w:rsidRDefault="7B5557BC" w:rsidP="7B5557BC">
      <w:pPr>
        <w:pStyle w:val="Heading4"/>
      </w:pPr>
      <w:r>
        <w:t xml:space="preserve">Existing </w:t>
      </w:r>
      <w:r w:rsidR="0018134C">
        <w:t>design</w:t>
      </w:r>
    </w:p>
    <w:p w14:paraId="3BB46B97" w14:textId="33500319" w:rsidR="00043A9A" w:rsidRDefault="7B5557BC" w:rsidP="7B5557BC">
      <w:r>
        <w:t>Under the current biennial review framework, Dominion must credit 85</w:t>
      </w:r>
      <w:r w:rsidR="00E3748E">
        <w:t xml:space="preserve"> percent</w:t>
      </w:r>
      <w:r>
        <w:t xml:space="preserve"> of its earnings between 100</w:t>
      </w:r>
      <w:r w:rsidR="00E3748E">
        <w:t xml:space="preserve"> percent </w:t>
      </w:r>
      <w:r>
        <w:t>and 150</w:t>
      </w:r>
      <w:r w:rsidR="00E3748E">
        <w:t xml:space="preserve"> percent</w:t>
      </w:r>
      <w:r>
        <w:t xml:space="preserve"> of its allowed rate of return to customers. Any earnings exceeding 150 basis points above its fair return are returned to customers.</w:t>
      </w:r>
    </w:p>
    <w:p w14:paraId="3EEC54E0" w14:textId="7C1BACAD" w:rsidR="004A166D" w:rsidRPr="00732FB4" w:rsidRDefault="004A166D" w:rsidP="7B5557BC">
      <w:r>
        <w:t xml:space="preserve">Dominion’s ESM (referred to as an earnings test) protects ratepayers by not allowing for the recovery of under-earnings, thereby encouraging Dominion to keep spending within its revenues. However, the lack of a deadband weakens cost-containment incentives for the utility. With no deadband, Dominion returns the majority (85 percent) of any earnings above its allowed return to customers. Deadbands of 50–100 basis points are commonly used to provide utilities with a stronger incentive to reduce costs, since the utility </w:t>
      </w:r>
      <w:proofErr w:type="gramStart"/>
      <w:r>
        <w:t>is able to</w:t>
      </w:r>
      <w:proofErr w:type="gramEnd"/>
      <w:r>
        <w:t xml:space="preserve"> retain more of the cost savings in the form of higher profits. For example, National Grid in Massachusetts has a deadband of 100 basis points, above which 75 percent of the earnings flow to customers.</w:t>
      </w:r>
      <w:r>
        <w:rPr>
          <w:rStyle w:val="FootnoteReference"/>
        </w:rPr>
        <w:footnoteReference w:id="24"/>
      </w:r>
      <w:r>
        <w:t xml:space="preserve"> Similarly, Hawaiian Electric has a deadband of 300 basis points.</w:t>
      </w:r>
      <w:r>
        <w:rPr>
          <w:rStyle w:val="FootnoteReference"/>
        </w:rPr>
        <w:footnoteReference w:id="25"/>
      </w:r>
      <w:r>
        <w:t xml:space="preserve"> </w:t>
      </w:r>
    </w:p>
    <w:p w14:paraId="2281C166" w14:textId="02135CEA" w:rsidR="004A166D" w:rsidRPr="00732FB4" w:rsidRDefault="7B5557BC" w:rsidP="7B5557BC">
      <w:r>
        <w:t xml:space="preserve">APCo operates under </w:t>
      </w:r>
      <w:proofErr w:type="gramStart"/>
      <w:r>
        <w:t>a different earnings</w:t>
      </w:r>
      <w:proofErr w:type="gramEnd"/>
      <w:r>
        <w:t xml:space="preserve"> sharing structure, with the utility retaining the first 100 basis points in excess of its allowed return, with anything greater than 100 basis points returned to customers. In other words, there is a 100 basis point deadband above the allowed </w:t>
      </w:r>
      <w:r w:rsidR="00C5513F">
        <w:t xml:space="preserve">return on equity </w:t>
      </w:r>
      <w:r>
        <w:t>that can potentially benefit the utility if it successfully reduces costs below its allowed revenues. This structure offers some incentive to APCo to operate efficiently so that it can boost its earnings.</w:t>
      </w:r>
    </w:p>
    <w:p w14:paraId="7A49898C" w14:textId="07BA7524" w:rsidR="00043A9A" w:rsidRPr="00732FB4" w:rsidRDefault="7B5557BC" w:rsidP="7B5557BC">
      <w:pPr>
        <w:pStyle w:val="Heading4"/>
      </w:pPr>
      <w:r>
        <w:t>Recommendations for Virgina</w:t>
      </w:r>
      <w:r w:rsidR="00EC2266">
        <w:t xml:space="preserve"> </w:t>
      </w:r>
    </w:p>
    <w:p w14:paraId="0D222D4A" w14:textId="00328C66" w:rsidR="00043A9A" w:rsidRDefault="7B5557BC" w:rsidP="7B5557BC">
      <w:r>
        <w:t xml:space="preserve">It is paramount to view design elements in a comprehensive manner to understand potential adverse outcomes. For example, if the ARM is based on a utility-specific cost forecast, the MRP should contain additional customer protection measures to ensure that the cost forecast is reasonable. Ideally the cost forecast would be based on a transparent and robust planning process with stakeholder involvement. If the forecast is not transparent, the MRP could include a one-way reconciliation mechanism to avoid an </w:t>
      </w:r>
      <w:r>
        <w:lastRenderedPageBreak/>
        <w:t>outcome where the utility benefits from inflating its cost projections and protects customers from utility</w:t>
      </w:r>
      <w:r w:rsidR="00E3748E">
        <w:t xml:space="preserve"> </w:t>
      </w:r>
      <w:r>
        <w:t>under‐spend.</w:t>
      </w:r>
    </w:p>
    <w:p w14:paraId="26A2F0DA" w14:textId="263D947B" w:rsidR="004A166D" w:rsidRPr="00732FB4" w:rsidRDefault="004A166D" w:rsidP="004A166D">
      <w:r>
        <w:t xml:space="preserve">The inclusion of an ESM in Viriginia’s MRP framework must be considered </w:t>
      </w:r>
      <w:proofErr w:type="gramStart"/>
      <w:r>
        <w:t>in light of</w:t>
      </w:r>
      <w:proofErr w:type="gramEnd"/>
      <w:r>
        <w:t xml:space="preserve"> other regulatory components, particularly the duration between rate reviews and the use of cost forecasts. Specifically:</w:t>
      </w:r>
    </w:p>
    <w:p w14:paraId="53FEA78C" w14:textId="77777777" w:rsidR="004A166D" w:rsidRPr="00732FB4" w:rsidRDefault="004A166D" w:rsidP="004A166D">
      <w:pPr>
        <w:pStyle w:val="ListParagraph"/>
      </w:pPr>
      <w:r>
        <w:t>The current two-year rate period dampens any cost-control incentives since the utility would only retain earnings for one year until rates are reset in the next biennial rate review. For an ESM to be effective at creating cost control incentives the period between MRPs should be at least three years.</w:t>
      </w:r>
    </w:p>
    <w:p w14:paraId="6B6E8338" w14:textId="77777777" w:rsidR="004A166D" w:rsidRDefault="004A166D" w:rsidP="004A166D">
      <w:pPr>
        <w:pStyle w:val="ListParagraph"/>
      </w:pPr>
      <w:r>
        <w:t>Utilities currently recover n</w:t>
      </w:r>
      <w:r w:rsidRPr="7B5557BC">
        <w:t xml:space="preserve">umerous costs, including a large portion of costs associated with generation, through RACs. </w:t>
      </w:r>
      <w:r>
        <w:t>A</w:t>
      </w:r>
      <w:r w:rsidRPr="7B5557BC">
        <w:t xml:space="preserve">ny future MRP revenue requirement </w:t>
      </w:r>
      <w:r>
        <w:t>should include t</w:t>
      </w:r>
      <w:r w:rsidRPr="7B5557BC">
        <w:t xml:space="preserve">hese costs. However, if these costs are escalated using a cost forecast developed by the utility, then there is a risk that the cost forecasts will be inflated. To guard against this risk, we suggest two options for </w:t>
      </w:r>
      <w:r>
        <w:t>ESMs</w:t>
      </w:r>
      <w:r w:rsidRPr="7B5557BC">
        <w:t>:</w:t>
      </w:r>
    </w:p>
    <w:p w14:paraId="09ACE1A0" w14:textId="77777777" w:rsidR="004A166D" w:rsidRDefault="004A166D" w:rsidP="004A166D">
      <w:pPr>
        <w:pStyle w:val="ListParagraph"/>
        <w:numPr>
          <w:ilvl w:val="1"/>
          <w:numId w:val="3"/>
        </w:numPr>
        <w:ind w:left="1440"/>
      </w:pPr>
      <w:r w:rsidRPr="7B5557BC">
        <w:t xml:space="preserve">If the cost forecasts are transparent and fully justified with supporting data, then it may be appropriate to allow the utility to retain a larger portion of any excess earnings (for example by allowing the utility to retain any over-earnings up to 100 basis points above the utility’s allowed </w:t>
      </w:r>
      <w:r>
        <w:t>return on equity</w:t>
      </w:r>
      <w:r w:rsidRPr="7B5557BC">
        <w:t>, and 25</w:t>
      </w:r>
      <w:r>
        <w:t xml:space="preserve"> percent</w:t>
      </w:r>
      <w:r w:rsidRPr="7B5557BC">
        <w:t xml:space="preserve"> of over-earnings above that threshold).</w:t>
      </w:r>
    </w:p>
    <w:p w14:paraId="4858685A" w14:textId="77777777" w:rsidR="004A166D" w:rsidRPr="00732FB4" w:rsidRDefault="004A166D" w:rsidP="004A166D">
      <w:pPr>
        <w:pStyle w:val="ListParagraph"/>
        <w:numPr>
          <w:ilvl w:val="1"/>
          <w:numId w:val="3"/>
        </w:numPr>
        <w:ind w:left="1440"/>
      </w:pPr>
      <w:r w:rsidRPr="7B5557BC">
        <w:t xml:space="preserve">If there is less certainty regarding the accuracy of cost forecasts, then the ESM should be set to return </w:t>
      </w:r>
      <w:proofErr w:type="gramStart"/>
      <w:r w:rsidRPr="7B5557BC">
        <w:t>the majority of</w:t>
      </w:r>
      <w:proofErr w:type="gramEnd"/>
      <w:r w:rsidRPr="7B5557BC">
        <w:t xml:space="preserve"> over-earnings to customers (e.g., by allowing the utility to retain only 25</w:t>
      </w:r>
      <w:r>
        <w:t xml:space="preserve"> percent</w:t>
      </w:r>
      <w:r w:rsidRPr="7B5557BC">
        <w:t xml:space="preserve"> of any over-earnings up to a threshold of 100 basis points above the allowed </w:t>
      </w:r>
      <w:r>
        <w:t>return on equity</w:t>
      </w:r>
      <w:r w:rsidRPr="7B5557BC">
        <w:t xml:space="preserve">, with all over-earnings above 100 basis points returned to customers). </w:t>
      </w:r>
    </w:p>
    <w:p w14:paraId="4B941F70" w14:textId="0DC2FAB6" w:rsidR="00043A9A" w:rsidRPr="00732FB4" w:rsidRDefault="006C528E" w:rsidP="7B5557BC">
      <w:r>
        <w:t xml:space="preserve">If the utility’s revenue requirement over the MRP term is based on either an external index or a cost forecast based on transparent and robust planning processes and the MRP has a stay out period of three or more </w:t>
      </w:r>
      <w:proofErr w:type="gramStart"/>
      <w:r>
        <w:t>years,  it</w:t>
      </w:r>
      <w:proofErr w:type="gramEnd"/>
      <w:r>
        <w:t xml:space="preserve"> may be appropriate to include an ESM. In this instance, we recommend several improvements to the existing design. </w:t>
      </w:r>
    </w:p>
    <w:p w14:paraId="6A057433" w14:textId="341F3C82" w:rsidR="00043A9A" w:rsidRPr="00732FB4" w:rsidRDefault="00043A9A" w:rsidP="004A166D"/>
    <w:p w14:paraId="490A2078" w14:textId="7ACFAC31" w:rsidR="00043A9A" w:rsidRPr="00732FB4" w:rsidRDefault="7B5557BC" w:rsidP="7B5557BC">
      <w:pPr>
        <w:pStyle w:val="Heading5"/>
      </w:pPr>
      <w:r>
        <w:t>Interaction between decoupling and ESM</w:t>
      </w:r>
      <w:r w:rsidR="00524F70">
        <w:t>s</w:t>
      </w:r>
    </w:p>
    <w:p w14:paraId="5F466FCF" w14:textId="3E0D4837" w:rsidR="00043A9A" w:rsidRDefault="7B5557BC" w:rsidP="7B5557BC">
      <w:pPr>
        <w:rPr>
          <w:rFonts w:eastAsia="Calibri" w:cs="Calibri"/>
        </w:rPr>
      </w:pPr>
      <w:r w:rsidRPr="7B5557BC">
        <w:rPr>
          <w:rFonts w:eastAsia="Calibri" w:cs="Calibri"/>
        </w:rPr>
        <w:t xml:space="preserve">As discussed above, </w:t>
      </w:r>
      <w:r w:rsidR="00524F70">
        <w:rPr>
          <w:rFonts w:eastAsia="Calibri" w:cs="Calibri"/>
        </w:rPr>
        <w:t xml:space="preserve">MRPs often include </w:t>
      </w:r>
      <w:r w:rsidRPr="7B5557BC">
        <w:rPr>
          <w:rFonts w:eastAsia="Calibri" w:cs="Calibri"/>
        </w:rPr>
        <w:t>decoupling</w:t>
      </w:r>
      <w:r w:rsidR="00524F70">
        <w:rPr>
          <w:rFonts w:eastAsia="Calibri" w:cs="Calibri"/>
        </w:rPr>
        <w:t>,</w:t>
      </w:r>
      <w:r w:rsidRPr="7B5557BC">
        <w:rPr>
          <w:rFonts w:eastAsia="Calibri" w:cs="Calibri"/>
        </w:rPr>
        <w:t xml:space="preserve"> in part because </w:t>
      </w:r>
      <w:r w:rsidR="00524F70">
        <w:rPr>
          <w:rFonts w:eastAsia="Calibri" w:cs="Calibri"/>
        </w:rPr>
        <w:t>decoupling</w:t>
      </w:r>
      <w:r w:rsidR="00524F70" w:rsidRPr="7B5557BC">
        <w:rPr>
          <w:rFonts w:eastAsia="Calibri" w:cs="Calibri"/>
        </w:rPr>
        <w:t xml:space="preserve"> </w:t>
      </w:r>
      <w:r w:rsidRPr="7B5557BC">
        <w:rPr>
          <w:rFonts w:eastAsia="Calibri" w:cs="Calibri"/>
        </w:rPr>
        <w:t xml:space="preserve">more clearly attributes earnings to utility performance rather than changes in sales volumes, which tend to be highly influenced by weather or economic activity rather than utility actions. If decoupling is implemented, the decoupling adjustment should be made before any determination of utility under- or over-earnings. </w:t>
      </w:r>
      <w:r w:rsidR="004B0DEE">
        <w:rPr>
          <w:rFonts w:eastAsia="Calibri" w:cs="Calibri"/>
        </w:rPr>
        <w:t xml:space="preserve">For example, Con Edison has decoupling and an ESM. To calculate the ESM the company’s actual earned ROE is calculated on </w:t>
      </w:r>
      <w:r w:rsidR="00B64753">
        <w:rPr>
          <w:rFonts w:eastAsia="Calibri" w:cs="Calibri"/>
        </w:rPr>
        <w:t xml:space="preserve">its books of account for each rate year, excluding the effects of items like property tax </w:t>
      </w:r>
      <w:r w:rsidR="00B64753">
        <w:rPr>
          <w:rFonts w:eastAsia="Calibri" w:cs="Calibri"/>
        </w:rPr>
        <w:lastRenderedPageBreak/>
        <w:t>refunds and revenue adjustments from decoupling.</w:t>
      </w:r>
      <w:r w:rsidR="00B64753">
        <w:rPr>
          <w:rStyle w:val="FootnoteReference"/>
          <w:rFonts w:eastAsia="Calibri" w:cs="Calibri"/>
        </w:rPr>
        <w:footnoteReference w:id="26"/>
      </w:r>
      <w:r w:rsidR="00B64753">
        <w:rPr>
          <w:rFonts w:eastAsia="Calibri" w:cs="Calibri"/>
        </w:rPr>
        <w:t xml:space="preserve"> In this way the calculation of the actual earned ROE does not </w:t>
      </w:r>
      <w:proofErr w:type="gramStart"/>
      <w:r w:rsidR="00B64753">
        <w:rPr>
          <w:rFonts w:eastAsia="Calibri" w:cs="Calibri"/>
        </w:rPr>
        <w:t>take into account</w:t>
      </w:r>
      <w:proofErr w:type="gramEnd"/>
      <w:r w:rsidR="00B64753">
        <w:rPr>
          <w:rFonts w:eastAsia="Calibri" w:cs="Calibri"/>
        </w:rPr>
        <w:t xml:space="preserve"> any revenue adjustments from decoupling. </w:t>
      </w:r>
      <w:r w:rsidRPr="7B5557BC">
        <w:rPr>
          <w:rFonts w:eastAsia="Calibri" w:cs="Calibri"/>
        </w:rPr>
        <w:t xml:space="preserve">This allows any earnings above or below the authorized return on equity to be more clearly attributed to utility actions rather than external variables. </w:t>
      </w:r>
    </w:p>
    <w:p w14:paraId="7B4F650D" w14:textId="5C4183C6" w:rsidR="00393518" w:rsidRDefault="00393518" w:rsidP="00393518">
      <w:pPr>
        <w:pStyle w:val="Heading3"/>
      </w:pPr>
      <w:r>
        <w:t xml:space="preserve">Rate </w:t>
      </w:r>
      <w:r w:rsidR="00C5513F">
        <w:t>case stay-out period</w:t>
      </w:r>
    </w:p>
    <w:p w14:paraId="2FE49FBB" w14:textId="77777777" w:rsidR="00393518" w:rsidRPr="00335BE0" w:rsidRDefault="00393518" w:rsidP="00393518">
      <w:pPr>
        <w:pStyle w:val="Heading4"/>
      </w:pPr>
      <w:r>
        <w:t xml:space="preserve">Overview </w:t>
      </w:r>
    </w:p>
    <w:p w14:paraId="70D09416" w14:textId="259F2B4F" w:rsidR="00393518" w:rsidRPr="00732FB4" w:rsidRDefault="00393518" w:rsidP="00393518">
      <w:r>
        <w:t>The stay-out period in an MRP defines the length of time before a utility is allowed to adjust its rates in a rate case. The duration between rate cases can have important impacts on utility cost-control incentives. Typically MRPs have stay-out periods of 3</w:t>
      </w:r>
      <w:r w:rsidR="00524F70">
        <w:t>–</w:t>
      </w:r>
      <w:r>
        <w:t xml:space="preserve">5 years, which encourages the utility to manage costs and find cost efficiencies to keep costs below its allowed revenues. In contrast, under Virginia’s current two-year rate period, there is little incentive for the utility to control costs because if the utility overspends it only </w:t>
      </w:r>
      <w:proofErr w:type="gramStart"/>
      <w:r>
        <w:t>has to</w:t>
      </w:r>
      <w:proofErr w:type="gramEnd"/>
      <w:r>
        <w:t xml:space="preserve"> wait two years until rates are reset. In addition, the two-year review period creates significant regulatory burden on regulators and intervening parties, as rate cases are filed frequently.</w:t>
      </w:r>
    </w:p>
    <w:p w14:paraId="0CCDF0F4" w14:textId="77777777" w:rsidR="00393518" w:rsidRPr="00732FB4" w:rsidRDefault="00393518" w:rsidP="00393518">
      <w:r>
        <w:t xml:space="preserve">When determining the appropriate stay-out period for an MRP, regulators must balance two competing factors: </w:t>
      </w:r>
    </w:p>
    <w:p w14:paraId="43466706" w14:textId="20573935" w:rsidR="00751F49" w:rsidRDefault="00393518" w:rsidP="00751F49">
      <w:pPr>
        <w:pStyle w:val="ListParagraph"/>
      </w:pPr>
      <w:r>
        <w:t xml:space="preserve">Cost-containment incentives: </w:t>
      </w:r>
      <w:r w:rsidR="00751F49">
        <w:t>A longer stay out period improves</w:t>
      </w:r>
      <w:r>
        <w:t xml:space="preserve"> the ability of utilities to benefit from implementing cost reductions during an MRP, </w:t>
      </w:r>
      <w:r w:rsidR="00751F49">
        <w:t>improving the</w:t>
      </w:r>
      <w:r>
        <w:t xml:space="preserve"> cost</w:t>
      </w:r>
      <w:r w:rsidR="00524F70">
        <w:t>-</w:t>
      </w:r>
      <w:r>
        <w:t xml:space="preserve">containment incentives provided by an MRP. </w:t>
      </w:r>
    </w:p>
    <w:p w14:paraId="74357177" w14:textId="6B4D1577" w:rsidR="00393518" w:rsidRPr="00732FB4" w:rsidRDefault="00393518" w:rsidP="00751F49">
      <w:pPr>
        <w:pStyle w:val="ListParagraph"/>
      </w:pPr>
      <w:r>
        <w:t>Risk: A shorter stay-out period reduces risks to customers by adjusting rates to reflect actual costs frequently. If there is little certainty regarding whether the MRP revenue targets are set appropriately, then a shorter stay-out period may be warranted. Uncertainty regarding revenue targets may arise because:</w:t>
      </w:r>
      <w:r w:rsidR="00751F49" w:rsidRPr="00751F49">
        <w:t xml:space="preserve"> </w:t>
      </w:r>
      <w:r w:rsidR="00751F49">
        <w:t>t</w:t>
      </w:r>
      <w:r w:rsidR="00751F49" w:rsidRPr="7B5557BC">
        <w:t>he revenue targets are set based on cost forecasts that are not sufficiently transparent or well-vetted.</w:t>
      </w:r>
    </w:p>
    <w:p w14:paraId="5EB33DEA" w14:textId="77777777" w:rsidR="00393518" w:rsidRPr="00732FB4" w:rsidRDefault="00393518" w:rsidP="00393518">
      <w:pPr>
        <w:pStyle w:val="Heading4"/>
      </w:pPr>
      <w:r>
        <w:t>Recommendations for Virginia</w:t>
      </w:r>
    </w:p>
    <w:p w14:paraId="2EAE267C" w14:textId="280E30F3" w:rsidR="00393518" w:rsidRPr="00393518" w:rsidRDefault="003730FA" w:rsidP="7B5557BC">
      <w:r>
        <w:t>If the Commission finds there is too much risk associated with utility cost-forecasts used to develop revenue requirements over a multi-year period, an MRP may not be an appropriate choice for Virigina and the current two-year rate period may be an appropriate way to balance cost-containment incentives with risk. However, if the</w:t>
      </w:r>
      <w:r w:rsidR="00393518">
        <w:t xml:space="preserve"> MRP ARM is based primarily on an external index</w:t>
      </w:r>
      <w:r>
        <w:t xml:space="preserve"> we recommend a three-year MRP. If the MRP is based primarily on well-vetted and transparent </w:t>
      </w:r>
      <w:r w:rsidR="00393518">
        <w:t xml:space="preserve">utility-specific cost forecasts </w:t>
      </w:r>
      <w:r>
        <w:t>th</w:t>
      </w:r>
      <w:r w:rsidR="00AA281E">
        <w:t>en</w:t>
      </w:r>
      <w:r>
        <w:t xml:space="preserve"> a longer </w:t>
      </w:r>
      <w:r w:rsidR="00393518">
        <w:t>stay-out period of 4</w:t>
      </w:r>
      <w:r w:rsidR="00524F70">
        <w:t>–</w:t>
      </w:r>
      <w:r w:rsidR="00393518">
        <w:t>5 years</w:t>
      </w:r>
      <w:r>
        <w:t xml:space="preserve"> is appropriate</w:t>
      </w:r>
      <w:r w:rsidR="00393518">
        <w:t>, since the planning process provides greater certainty to all parties that the allowed revenues will be sufficient but not excessive.</w:t>
      </w:r>
    </w:p>
    <w:p w14:paraId="1EAA703E" w14:textId="733CB4FE" w:rsidR="00043A9A" w:rsidRPr="00732FB4" w:rsidRDefault="7B5557BC" w:rsidP="7B5557BC">
      <w:pPr>
        <w:pStyle w:val="Heading3"/>
        <w:rPr>
          <w:color w:val="FF0000"/>
        </w:rPr>
      </w:pPr>
      <w:r>
        <w:lastRenderedPageBreak/>
        <w:t xml:space="preserve">Performance </w:t>
      </w:r>
      <w:r w:rsidR="00524F70">
        <w:t xml:space="preserve">incentive mechanisms </w:t>
      </w:r>
    </w:p>
    <w:p w14:paraId="2E0ED748" w14:textId="77777777" w:rsidR="00043A9A" w:rsidRDefault="00043A9A" w:rsidP="00043A9A">
      <w:r w:rsidRPr="00043A9A">
        <w:t>PIMs can help to align a utility’s financial incentives with the public interest. However, PIMs should be designed in concert with cost recovery mechanisms. For example, if the utility can recover the costs of meeting a PIM target through a tracker, then it has every incentive to spend as much as required to meet the PIM target, even if the costs outweigh the benefits.</w:t>
      </w:r>
      <w:r>
        <w:t xml:space="preserve"> </w:t>
      </w:r>
    </w:p>
    <w:p w14:paraId="0BA0BDBD" w14:textId="2F14DD35" w:rsidR="00043A9A" w:rsidRDefault="00043A9A" w:rsidP="00043A9A">
      <w:r w:rsidRPr="00043A9A">
        <w:t xml:space="preserve">PIMs should be implemented in Virginia alongside incentives to control the costs associated with meeting the PIM targets. In addition, the total value of potential PIM rewards plus the utility’s base </w:t>
      </w:r>
      <w:r>
        <w:t>return on equity</w:t>
      </w:r>
      <w:r w:rsidR="00C5513F">
        <w:t xml:space="preserve"> </w:t>
      </w:r>
      <w:r w:rsidRPr="00043A9A">
        <w:t>should not be excessive, or the utility will have a stronger incentive to expand its rate base.</w:t>
      </w:r>
    </w:p>
    <w:p w14:paraId="51DFA11F" w14:textId="17D12293" w:rsidR="00043A9A" w:rsidRPr="00043A9A" w:rsidRDefault="00043A9A" w:rsidP="00043A9A">
      <w:r>
        <w:t xml:space="preserve">Synapse discusses PIM design in its companion PIMs report. </w:t>
      </w:r>
    </w:p>
    <w:p w14:paraId="16F8B8C3" w14:textId="592371FE" w:rsidR="00663C1C" w:rsidRDefault="00663C1C" w:rsidP="00663C1C">
      <w:pPr>
        <w:pStyle w:val="Heading2"/>
      </w:pPr>
      <w:bookmarkStart w:id="12" w:name="_Toc195890686"/>
      <w:r>
        <w:t xml:space="preserve">Evaluating </w:t>
      </w:r>
      <w:r w:rsidR="004C7B44">
        <w:t xml:space="preserve">MRP </w:t>
      </w:r>
      <w:r w:rsidR="00524F70">
        <w:t>proposals</w:t>
      </w:r>
      <w:bookmarkEnd w:id="12"/>
      <w:r w:rsidR="00524F70">
        <w:t xml:space="preserve"> </w:t>
      </w:r>
      <w:r w:rsidR="00524F70">
        <w:rPr>
          <w:color w:val="FF0000"/>
        </w:rPr>
        <w:t xml:space="preserve"> </w:t>
      </w:r>
    </w:p>
    <w:p w14:paraId="35BE099B" w14:textId="68D6E793" w:rsidR="00D12152" w:rsidRDefault="008B18FD" w:rsidP="00AF6F7C">
      <w:pPr>
        <w:rPr>
          <w:color w:val="000000" w:themeColor="text1"/>
        </w:rPr>
      </w:pPr>
      <w:r>
        <w:rPr>
          <w:color w:val="000000" w:themeColor="text1"/>
        </w:rPr>
        <w:t xml:space="preserve">As the </w:t>
      </w:r>
      <w:r w:rsidR="00393518">
        <w:rPr>
          <w:color w:val="000000" w:themeColor="text1"/>
        </w:rPr>
        <w:t xml:space="preserve">Commission and Virginia Energy </w:t>
      </w:r>
      <w:r>
        <w:rPr>
          <w:color w:val="000000" w:themeColor="text1"/>
        </w:rPr>
        <w:t>e</w:t>
      </w:r>
      <w:r w:rsidRPr="008B18FD">
        <w:rPr>
          <w:color w:val="000000" w:themeColor="text1"/>
        </w:rPr>
        <w:t xml:space="preserve">valuate </w:t>
      </w:r>
      <w:r>
        <w:rPr>
          <w:color w:val="000000" w:themeColor="text1"/>
        </w:rPr>
        <w:t xml:space="preserve">potential </w:t>
      </w:r>
      <w:r w:rsidRPr="008B18FD">
        <w:rPr>
          <w:color w:val="000000" w:themeColor="text1"/>
        </w:rPr>
        <w:t>performance-based regulatory tools</w:t>
      </w:r>
      <w:r>
        <w:rPr>
          <w:color w:val="000000" w:themeColor="text1"/>
        </w:rPr>
        <w:t xml:space="preserve">, including MRPs, we recommend </w:t>
      </w:r>
      <w:r w:rsidR="00CA171D">
        <w:rPr>
          <w:color w:val="000000" w:themeColor="text1"/>
        </w:rPr>
        <w:t>thorough evaluation of</w:t>
      </w:r>
      <w:r>
        <w:rPr>
          <w:color w:val="000000" w:themeColor="text1"/>
        </w:rPr>
        <w:t xml:space="preserve"> each proposal </w:t>
      </w:r>
      <w:r w:rsidR="00D12152">
        <w:rPr>
          <w:color w:val="000000" w:themeColor="text1"/>
        </w:rPr>
        <w:t xml:space="preserve">to ensure that it will provide greater utility cost control, lower rates, reduced administrative burden, and alignment with Virgina’s energy policy goals than the current framework and </w:t>
      </w:r>
      <w:r>
        <w:rPr>
          <w:color w:val="000000" w:themeColor="text1"/>
        </w:rPr>
        <w:t>compared to traditional cost</w:t>
      </w:r>
      <w:r w:rsidR="00CA171D">
        <w:rPr>
          <w:color w:val="000000" w:themeColor="text1"/>
        </w:rPr>
        <w:t>-</w:t>
      </w:r>
      <w:r>
        <w:rPr>
          <w:color w:val="000000" w:themeColor="text1"/>
        </w:rPr>
        <w:t>of</w:t>
      </w:r>
      <w:r w:rsidR="00CA171D">
        <w:rPr>
          <w:color w:val="000000" w:themeColor="text1"/>
        </w:rPr>
        <w:t>-</w:t>
      </w:r>
      <w:r>
        <w:rPr>
          <w:color w:val="000000" w:themeColor="text1"/>
        </w:rPr>
        <w:t xml:space="preserve">service regulation. </w:t>
      </w:r>
      <w:r w:rsidR="004C7B44">
        <w:rPr>
          <w:color w:val="000000" w:themeColor="text1"/>
        </w:rPr>
        <w:fldChar w:fldCharType="begin"/>
      </w:r>
      <w:r w:rsidR="004C7B44">
        <w:rPr>
          <w:color w:val="000000" w:themeColor="text1"/>
        </w:rPr>
        <w:instrText xml:space="preserve"> REF _Ref195560183 \h </w:instrText>
      </w:r>
      <w:r w:rsidR="004C7B44">
        <w:rPr>
          <w:color w:val="000000" w:themeColor="text1"/>
        </w:rPr>
      </w:r>
      <w:r w:rsidR="004C7B44">
        <w:rPr>
          <w:color w:val="000000" w:themeColor="text1"/>
        </w:rPr>
        <w:fldChar w:fldCharType="separate"/>
      </w:r>
      <w:r w:rsidR="004C7B44">
        <w:t xml:space="preserve">Table </w:t>
      </w:r>
      <w:r w:rsidR="004C7B44">
        <w:rPr>
          <w:noProof/>
        </w:rPr>
        <w:t>4</w:t>
      </w:r>
      <w:r w:rsidR="004C7B44">
        <w:rPr>
          <w:color w:val="000000" w:themeColor="text1"/>
        </w:rPr>
        <w:fldChar w:fldCharType="end"/>
      </w:r>
      <w:r w:rsidR="004C7B44">
        <w:rPr>
          <w:color w:val="000000" w:themeColor="text1"/>
        </w:rPr>
        <w:t xml:space="preserve"> </w:t>
      </w:r>
      <w:r>
        <w:rPr>
          <w:color w:val="000000" w:themeColor="text1"/>
        </w:rPr>
        <w:t xml:space="preserve">below provides a set of evaluation criteria </w:t>
      </w:r>
      <w:r w:rsidR="00CA171D">
        <w:rPr>
          <w:color w:val="000000" w:themeColor="text1"/>
        </w:rPr>
        <w:t>to help</w:t>
      </w:r>
      <w:r>
        <w:rPr>
          <w:color w:val="000000" w:themeColor="text1"/>
        </w:rPr>
        <w:t xml:space="preserve"> assess the merits of an MRP proposal. </w:t>
      </w:r>
    </w:p>
    <w:p w14:paraId="3885F81F" w14:textId="4AC078BA" w:rsidR="008B18FD" w:rsidRDefault="008B18FD" w:rsidP="008B18FD">
      <w:pPr>
        <w:pStyle w:val="Table-Caption"/>
      </w:pPr>
      <w:bookmarkStart w:id="13" w:name="_Ref195560183"/>
      <w:r>
        <w:lastRenderedPageBreak/>
        <w:t xml:space="preserve">Table </w:t>
      </w:r>
      <w:fldSimple w:instr=" SEQ Table \* ARABIC ">
        <w:r>
          <w:rPr>
            <w:noProof/>
          </w:rPr>
          <w:t>4</w:t>
        </w:r>
      </w:fldSimple>
      <w:bookmarkEnd w:id="13"/>
      <w:r>
        <w:t xml:space="preserve">. Evaluation </w:t>
      </w:r>
      <w:r w:rsidR="00CA171D">
        <w:t xml:space="preserve">criteria </w:t>
      </w:r>
      <w:r>
        <w:t xml:space="preserve">for MRPs </w:t>
      </w:r>
    </w:p>
    <w:tbl>
      <w:tblPr>
        <w:tblStyle w:val="TableGrid"/>
        <w:tblW w:w="94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115" w:type="dxa"/>
          <w:bottom w:w="29" w:type="dxa"/>
          <w:right w:w="115" w:type="dxa"/>
        </w:tblCellMar>
        <w:tblLook w:val="0420" w:firstRow="1" w:lastRow="0" w:firstColumn="0" w:lastColumn="0" w:noHBand="0" w:noVBand="1"/>
      </w:tblPr>
      <w:tblGrid>
        <w:gridCol w:w="2335"/>
        <w:gridCol w:w="7110"/>
      </w:tblGrid>
      <w:tr w:rsidR="008B18FD" w:rsidRPr="00172A5C" w14:paraId="68430CD5" w14:textId="77777777" w:rsidTr="008E6EED">
        <w:trPr>
          <w:trHeight w:val="20"/>
        </w:trPr>
        <w:tc>
          <w:tcPr>
            <w:tcW w:w="2335" w:type="dxa"/>
            <w:shd w:val="clear" w:color="auto" w:fill="auto"/>
            <w:vAlign w:val="center"/>
          </w:tcPr>
          <w:p w14:paraId="2957A73A" w14:textId="77777777" w:rsidR="008B18FD" w:rsidRPr="00172A5C" w:rsidRDefault="008B18FD" w:rsidP="004C69E3">
            <w:pPr>
              <w:keepNext/>
              <w:rPr>
                <w:b/>
                <w:szCs w:val="24"/>
              </w:rPr>
            </w:pPr>
            <w:bookmarkStart w:id="14" w:name="_Hlk151545928"/>
            <w:r w:rsidRPr="00172A5C">
              <w:rPr>
                <w:b/>
                <w:szCs w:val="24"/>
              </w:rPr>
              <w:t>Category</w:t>
            </w:r>
          </w:p>
        </w:tc>
        <w:tc>
          <w:tcPr>
            <w:tcW w:w="7110" w:type="dxa"/>
            <w:shd w:val="clear" w:color="auto" w:fill="auto"/>
            <w:vAlign w:val="center"/>
          </w:tcPr>
          <w:p w14:paraId="22B72CEC" w14:textId="77777777" w:rsidR="008B18FD" w:rsidRPr="00172A5C" w:rsidRDefault="008B18FD" w:rsidP="004C69E3">
            <w:pPr>
              <w:keepNext/>
              <w:ind w:left="331" w:hanging="331"/>
              <w:rPr>
                <w:b/>
                <w:szCs w:val="24"/>
              </w:rPr>
            </w:pPr>
            <w:r w:rsidRPr="00172A5C">
              <w:rPr>
                <w:b/>
                <w:szCs w:val="24"/>
              </w:rPr>
              <w:t>Key Criteria</w:t>
            </w:r>
          </w:p>
        </w:tc>
      </w:tr>
      <w:tr w:rsidR="008B18FD" w:rsidRPr="00172A5C" w14:paraId="67DA6955" w14:textId="77777777" w:rsidTr="008E6EED">
        <w:trPr>
          <w:trHeight w:val="20"/>
        </w:trPr>
        <w:tc>
          <w:tcPr>
            <w:tcW w:w="2335" w:type="dxa"/>
          </w:tcPr>
          <w:p w14:paraId="6F5042EF" w14:textId="77777777" w:rsidR="008B18FD" w:rsidRPr="00172A5C" w:rsidRDefault="008B18FD" w:rsidP="004C69E3">
            <w:pPr>
              <w:keepNext/>
              <w:rPr>
                <w:b/>
                <w:bCs/>
                <w:szCs w:val="24"/>
              </w:rPr>
            </w:pPr>
            <w:r w:rsidRPr="00172A5C">
              <w:rPr>
                <w:b/>
                <w:bCs/>
                <w:szCs w:val="24"/>
              </w:rPr>
              <w:t>Information and Resource Asymmetry</w:t>
            </w:r>
          </w:p>
        </w:tc>
        <w:tc>
          <w:tcPr>
            <w:tcW w:w="7110" w:type="dxa"/>
          </w:tcPr>
          <w:p w14:paraId="7524B8D1" w14:textId="68D8F17A" w:rsidR="008B18FD" w:rsidRPr="00172A5C" w:rsidRDefault="008B18FD" w:rsidP="008B18FD">
            <w:pPr>
              <w:keepNext/>
              <w:numPr>
                <w:ilvl w:val="0"/>
                <w:numId w:val="41"/>
              </w:numPr>
              <w:tabs>
                <w:tab w:val="clear" w:pos="720"/>
              </w:tabs>
              <w:ind w:left="331" w:hanging="331"/>
              <w:rPr>
                <w:szCs w:val="24"/>
              </w:rPr>
            </w:pPr>
            <w:r w:rsidRPr="00172A5C">
              <w:rPr>
                <w:szCs w:val="24"/>
              </w:rPr>
              <w:t>Are the allowed revenues set based on an objective, external index, or are they based on the utility’s own estimates? If the latter, information asymmetry will be high</w:t>
            </w:r>
            <w:r>
              <w:rPr>
                <w:szCs w:val="24"/>
              </w:rPr>
              <w:t xml:space="preserve"> and problematic without comprehensive </w:t>
            </w:r>
            <w:r w:rsidR="00CA171D">
              <w:rPr>
                <w:szCs w:val="24"/>
              </w:rPr>
              <w:t xml:space="preserve">and </w:t>
            </w:r>
            <w:r w:rsidRPr="008B18FD">
              <w:rPr>
                <w:szCs w:val="24"/>
              </w:rPr>
              <w:t>transparent integrated planning at the generation, transmission, and distribution levels</w:t>
            </w:r>
            <w:r w:rsidRPr="00172A5C">
              <w:rPr>
                <w:szCs w:val="24"/>
              </w:rPr>
              <w:t>.</w:t>
            </w:r>
          </w:p>
          <w:p w14:paraId="1CD31CA5" w14:textId="7FF63372" w:rsidR="008B18FD" w:rsidRDefault="008B18FD" w:rsidP="008B18FD">
            <w:pPr>
              <w:keepNext/>
              <w:numPr>
                <w:ilvl w:val="0"/>
                <w:numId w:val="41"/>
              </w:numPr>
              <w:tabs>
                <w:tab w:val="clear" w:pos="720"/>
              </w:tabs>
              <w:ind w:left="331" w:hanging="331"/>
              <w:rPr>
                <w:szCs w:val="24"/>
              </w:rPr>
            </w:pPr>
            <w:r>
              <w:rPr>
                <w:szCs w:val="24"/>
              </w:rPr>
              <w:t xml:space="preserve">Is a capital plan provided in the context of a comprehensive </w:t>
            </w:r>
            <w:r w:rsidR="004F1FB0" w:rsidRPr="009401EA">
              <w:t xml:space="preserve">integrated distribution plan </w:t>
            </w:r>
            <w:r>
              <w:rPr>
                <w:szCs w:val="24"/>
              </w:rPr>
              <w:t xml:space="preserve">and </w:t>
            </w:r>
            <w:r w:rsidR="004F1FB0">
              <w:rPr>
                <w:szCs w:val="24"/>
              </w:rPr>
              <w:t>integrated resource plan</w:t>
            </w:r>
            <w:r>
              <w:rPr>
                <w:szCs w:val="24"/>
              </w:rPr>
              <w:t>?</w:t>
            </w:r>
          </w:p>
          <w:p w14:paraId="69FE9D03" w14:textId="10C2B29D" w:rsidR="008B18FD" w:rsidRPr="00172A5C" w:rsidRDefault="008B18FD" w:rsidP="008B18FD">
            <w:pPr>
              <w:keepNext/>
              <w:numPr>
                <w:ilvl w:val="0"/>
                <w:numId w:val="41"/>
              </w:numPr>
              <w:tabs>
                <w:tab w:val="clear" w:pos="720"/>
              </w:tabs>
              <w:ind w:left="331" w:hanging="331"/>
              <w:rPr>
                <w:szCs w:val="24"/>
              </w:rPr>
            </w:pPr>
            <w:r w:rsidRPr="00172A5C">
              <w:rPr>
                <w:szCs w:val="24"/>
              </w:rPr>
              <w:t xml:space="preserve">Are alternatives to proposed investments appropriately considered and evaluated, including third-party provided solutions such as </w:t>
            </w:r>
            <w:r w:rsidR="00CA171D">
              <w:rPr>
                <w:szCs w:val="24"/>
              </w:rPr>
              <w:t>non-wires alternatives</w:t>
            </w:r>
            <w:r>
              <w:rPr>
                <w:szCs w:val="24"/>
              </w:rPr>
              <w:t>?</w:t>
            </w:r>
          </w:p>
        </w:tc>
      </w:tr>
      <w:tr w:rsidR="008B18FD" w:rsidRPr="00172A5C" w14:paraId="089B3492" w14:textId="77777777" w:rsidTr="008E6EED">
        <w:trPr>
          <w:trHeight w:val="20"/>
        </w:trPr>
        <w:tc>
          <w:tcPr>
            <w:tcW w:w="2335" w:type="dxa"/>
            <w:hideMark/>
          </w:tcPr>
          <w:p w14:paraId="4107DBA3" w14:textId="77777777" w:rsidR="008B18FD" w:rsidRPr="00172A5C" w:rsidRDefault="008B18FD" w:rsidP="004C69E3">
            <w:pPr>
              <w:keepNext/>
              <w:rPr>
                <w:szCs w:val="24"/>
              </w:rPr>
            </w:pPr>
            <w:r w:rsidRPr="00172A5C">
              <w:rPr>
                <w:b/>
                <w:bCs/>
                <w:szCs w:val="24"/>
              </w:rPr>
              <w:t>Risk</w:t>
            </w:r>
          </w:p>
        </w:tc>
        <w:tc>
          <w:tcPr>
            <w:tcW w:w="7110" w:type="dxa"/>
            <w:hideMark/>
          </w:tcPr>
          <w:p w14:paraId="6581DC6C" w14:textId="77777777" w:rsidR="008B18FD" w:rsidRDefault="008B18FD" w:rsidP="008B18FD">
            <w:pPr>
              <w:keepNext/>
              <w:numPr>
                <w:ilvl w:val="0"/>
                <w:numId w:val="42"/>
              </w:numPr>
              <w:ind w:left="331" w:hanging="331"/>
              <w:rPr>
                <w:szCs w:val="24"/>
              </w:rPr>
            </w:pPr>
            <w:r w:rsidRPr="00172A5C">
              <w:rPr>
                <w:szCs w:val="24"/>
              </w:rPr>
              <w:t>Does the risk associated with managing the utility remain with utility managers? Or are risks shifted to ratepayers?</w:t>
            </w:r>
          </w:p>
          <w:p w14:paraId="41F1FDC4" w14:textId="77777777" w:rsidR="008B18FD" w:rsidRDefault="008B18FD" w:rsidP="008B18FD">
            <w:pPr>
              <w:keepNext/>
              <w:numPr>
                <w:ilvl w:val="0"/>
                <w:numId w:val="42"/>
              </w:numPr>
              <w:ind w:left="331" w:hanging="331"/>
              <w:rPr>
                <w:szCs w:val="24"/>
              </w:rPr>
            </w:pPr>
            <w:r w:rsidRPr="00E012BA">
              <w:rPr>
                <w:szCs w:val="24"/>
              </w:rPr>
              <w:t>Who bears the risk of cost overruns?</w:t>
            </w:r>
          </w:p>
          <w:p w14:paraId="7BA11C92" w14:textId="77777777" w:rsidR="008B18FD" w:rsidRDefault="008B18FD" w:rsidP="008B18FD">
            <w:pPr>
              <w:keepNext/>
              <w:numPr>
                <w:ilvl w:val="0"/>
                <w:numId w:val="42"/>
              </w:numPr>
              <w:ind w:left="331" w:hanging="331"/>
              <w:rPr>
                <w:szCs w:val="24"/>
              </w:rPr>
            </w:pPr>
            <w:r w:rsidRPr="00E012BA">
              <w:rPr>
                <w:szCs w:val="24"/>
              </w:rPr>
              <w:t>Who bears the risk of forecast error?</w:t>
            </w:r>
          </w:p>
          <w:p w14:paraId="6ED1FB1B" w14:textId="77777777" w:rsidR="008B18FD" w:rsidRPr="00E012BA" w:rsidRDefault="008B18FD" w:rsidP="008B18FD">
            <w:pPr>
              <w:keepNext/>
              <w:numPr>
                <w:ilvl w:val="0"/>
                <w:numId w:val="42"/>
              </w:numPr>
              <w:ind w:left="331" w:hanging="331"/>
              <w:rPr>
                <w:szCs w:val="24"/>
              </w:rPr>
            </w:pPr>
            <w:r w:rsidRPr="00E012BA">
              <w:rPr>
                <w:szCs w:val="24"/>
              </w:rPr>
              <w:t>Who bears the risk of stranded costs?</w:t>
            </w:r>
          </w:p>
        </w:tc>
      </w:tr>
      <w:tr w:rsidR="008B18FD" w:rsidRPr="00172A5C" w14:paraId="616C331C" w14:textId="77777777" w:rsidTr="008E6EED">
        <w:trPr>
          <w:trHeight w:val="20"/>
        </w:trPr>
        <w:tc>
          <w:tcPr>
            <w:tcW w:w="2335" w:type="dxa"/>
            <w:hideMark/>
          </w:tcPr>
          <w:p w14:paraId="453C7EF5" w14:textId="77777777" w:rsidR="008B18FD" w:rsidRPr="00172A5C" w:rsidRDefault="008B18FD" w:rsidP="004C69E3">
            <w:pPr>
              <w:keepNext/>
              <w:rPr>
                <w:szCs w:val="24"/>
              </w:rPr>
            </w:pPr>
            <w:r w:rsidRPr="00172A5C">
              <w:rPr>
                <w:b/>
                <w:bCs/>
                <w:szCs w:val="24"/>
              </w:rPr>
              <w:t xml:space="preserve">Core </w:t>
            </w:r>
            <w:r>
              <w:rPr>
                <w:b/>
                <w:bCs/>
                <w:szCs w:val="24"/>
              </w:rPr>
              <w:t>Services</w:t>
            </w:r>
          </w:p>
        </w:tc>
        <w:tc>
          <w:tcPr>
            <w:tcW w:w="7110" w:type="dxa"/>
            <w:hideMark/>
          </w:tcPr>
          <w:p w14:paraId="3CDF6681" w14:textId="77777777" w:rsidR="008B18FD" w:rsidRPr="00172A5C" w:rsidRDefault="008B18FD" w:rsidP="008B18FD">
            <w:pPr>
              <w:keepNext/>
              <w:numPr>
                <w:ilvl w:val="0"/>
                <w:numId w:val="43"/>
              </w:numPr>
              <w:ind w:left="331" w:hanging="331"/>
              <w:rPr>
                <w:szCs w:val="24"/>
              </w:rPr>
            </w:pPr>
            <w:r w:rsidRPr="00172A5C">
              <w:rPr>
                <w:szCs w:val="24"/>
              </w:rPr>
              <w:t>Is the utility maintaining an acceptable level of reliability and customer service?</w:t>
            </w:r>
          </w:p>
        </w:tc>
      </w:tr>
      <w:tr w:rsidR="008B18FD" w:rsidRPr="00172A5C" w14:paraId="1EEAF12A" w14:textId="77777777" w:rsidTr="008E6EED">
        <w:trPr>
          <w:trHeight w:val="20"/>
        </w:trPr>
        <w:tc>
          <w:tcPr>
            <w:tcW w:w="2335" w:type="dxa"/>
            <w:hideMark/>
          </w:tcPr>
          <w:p w14:paraId="0EF1A79F" w14:textId="77777777" w:rsidR="008B18FD" w:rsidRPr="00172A5C" w:rsidRDefault="008B18FD" w:rsidP="004C69E3">
            <w:pPr>
              <w:keepNext/>
              <w:rPr>
                <w:szCs w:val="24"/>
              </w:rPr>
            </w:pPr>
            <w:r w:rsidRPr="00172A5C">
              <w:rPr>
                <w:b/>
                <w:bCs/>
                <w:szCs w:val="24"/>
              </w:rPr>
              <w:t>Policy Goals</w:t>
            </w:r>
          </w:p>
        </w:tc>
        <w:tc>
          <w:tcPr>
            <w:tcW w:w="7110" w:type="dxa"/>
            <w:hideMark/>
          </w:tcPr>
          <w:p w14:paraId="67B82832" w14:textId="763AD97B" w:rsidR="008B18FD" w:rsidRPr="00172A5C" w:rsidRDefault="008B18FD" w:rsidP="008B18FD">
            <w:pPr>
              <w:keepNext/>
              <w:numPr>
                <w:ilvl w:val="0"/>
                <w:numId w:val="44"/>
              </w:numPr>
              <w:ind w:left="331" w:hanging="331"/>
              <w:rPr>
                <w:szCs w:val="24"/>
              </w:rPr>
            </w:pPr>
            <w:r w:rsidRPr="00172A5C">
              <w:rPr>
                <w:szCs w:val="24"/>
              </w:rPr>
              <w:t xml:space="preserve">Is the utility achieving </w:t>
            </w:r>
            <w:r>
              <w:rPr>
                <w:szCs w:val="24"/>
              </w:rPr>
              <w:t xml:space="preserve">energy </w:t>
            </w:r>
            <w:r w:rsidRPr="00172A5C">
              <w:rPr>
                <w:szCs w:val="24"/>
              </w:rPr>
              <w:t>policy goals</w:t>
            </w:r>
            <w:r>
              <w:rPr>
                <w:szCs w:val="24"/>
              </w:rPr>
              <w:t xml:space="preserve"> beyond business-as-usual utility investments</w:t>
            </w:r>
            <w:r w:rsidRPr="00172A5C">
              <w:rPr>
                <w:szCs w:val="24"/>
              </w:rPr>
              <w:t xml:space="preserve"> (e.g., resilience, grid modernization, </w:t>
            </w:r>
            <w:r w:rsidR="00EC2266">
              <w:rPr>
                <w:szCs w:val="24"/>
              </w:rPr>
              <w:t>distributed energy resource</w:t>
            </w:r>
            <w:r w:rsidR="00EC2266" w:rsidRPr="00172A5C">
              <w:rPr>
                <w:szCs w:val="24"/>
              </w:rPr>
              <w:t xml:space="preserve"> </w:t>
            </w:r>
            <w:r w:rsidRPr="00172A5C">
              <w:rPr>
                <w:szCs w:val="24"/>
              </w:rPr>
              <w:t xml:space="preserve">interconnection, </w:t>
            </w:r>
            <w:r w:rsidR="00EC2266">
              <w:rPr>
                <w:szCs w:val="24"/>
              </w:rPr>
              <w:t>energy efficiency</w:t>
            </w:r>
            <w:r w:rsidR="00762AA5">
              <w:rPr>
                <w:szCs w:val="24"/>
              </w:rPr>
              <w:t xml:space="preserve">, </w:t>
            </w:r>
            <w:r w:rsidR="00CA171D">
              <w:rPr>
                <w:szCs w:val="24"/>
              </w:rPr>
              <w:t>electric vehicle</w:t>
            </w:r>
            <w:r w:rsidR="00CA171D" w:rsidRPr="00172A5C">
              <w:rPr>
                <w:szCs w:val="24"/>
              </w:rPr>
              <w:t xml:space="preserve"> </w:t>
            </w:r>
            <w:r w:rsidRPr="00172A5C">
              <w:rPr>
                <w:szCs w:val="24"/>
              </w:rPr>
              <w:t>adoption, microgrids, customer empowerment, etc.)</w:t>
            </w:r>
          </w:p>
        </w:tc>
      </w:tr>
      <w:tr w:rsidR="008B18FD" w:rsidRPr="00172A5C" w14:paraId="0FDB220E" w14:textId="77777777" w:rsidTr="008E6EED">
        <w:trPr>
          <w:trHeight w:val="20"/>
        </w:trPr>
        <w:tc>
          <w:tcPr>
            <w:tcW w:w="2335" w:type="dxa"/>
          </w:tcPr>
          <w:p w14:paraId="36329A6C" w14:textId="77777777" w:rsidR="008B18FD" w:rsidRPr="00172A5C" w:rsidRDefault="008B18FD" w:rsidP="004C69E3">
            <w:pPr>
              <w:keepNext/>
              <w:rPr>
                <w:b/>
                <w:bCs/>
                <w:szCs w:val="24"/>
              </w:rPr>
            </w:pPr>
            <w:r w:rsidRPr="00172A5C">
              <w:rPr>
                <w:b/>
                <w:bCs/>
                <w:szCs w:val="24"/>
              </w:rPr>
              <w:t>Administrative Burden</w:t>
            </w:r>
          </w:p>
        </w:tc>
        <w:tc>
          <w:tcPr>
            <w:tcW w:w="7110" w:type="dxa"/>
          </w:tcPr>
          <w:p w14:paraId="4E5AE39F" w14:textId="33098946" w:rsidR="008B18FD" w:rsidRPr="00432751" w:rsidRDefault="008B18FD" w:rsidP="008B18FD">
            <w:pPr>
              <w:keepNext/>
              <w:numPr>
                <w:ilvl w:val="0"/>
                <w:numId w:val="41"/>
              </w:numPr>
              <w:ind w:left="331" w:hanging="331"/>
              <w:rPr>
                <w:szCs w:val="24"/>
              </w:rPr>
            </w:pPr>
            <w:r w:rsidRPr="00172A5C">
              <w:rPr>
                <w:szCs w:val="24"/>
              </w:rPr>
              <w:t xml:space="preserve">Does the MRP </w:t>
            </w:r>
            <w:proofErr w:type="gramStart"/>
            <w:r w:rsidRPr="00172A5C">
              <w:rPr>
                <w:szCs w:val="24"/>
              </w:rPr>
              <w:t>actually reduce</w:t>
            </w:r>
            <w:proofErr w:type="gramEnd"/>
            <w:r w:rsidRPr="00172A5C">
              <w:rPr>
                <w:szCs w:val="24"/>
              </w:rPr>
              <w:t xml:space="preserve"> administrative burden after the rate plan is approved? </w:t>
            </w:r>
          </w:p>
        </w:tc>
      </w:tr>
    </w:tbl>
    <w:p w14:paraId="70775BA1" w14:textId="2AAAACA0" w:rsidR="00663C1C" w:rsidRPr="00DE1733" w:rsidRDefault="00663C1C" w:rsidP="00663C1C">
      <w:pPr>
        <w:pStyle w:val="Heading1"/>
      </w:pPr>
      <w:bookmarkStart w:id="15" w:name="_Toc195890687"/>
      <w:bookmarkEnd w:id="14"/>
      <w:r>
        <w:t>Conclusion</w:t>
      </w:r>
      <w:bookmarkEnd w:id="15"/>
      <w:r>
        <w:t xml:space="preserve"> </w:t>
      </w:r>
    </w:p>
    <w:bookmarkEnd w:id="1"/>
    <w:bookmarkEnd w:id="2"/>
    <w:p w14:paraId="2ECB82D7" w14:textId="0C184361" w:rsidR="00D64BF8" w:rsidRDefault="00B13AF6" w:rsidP="00B13AF6">
      <w:r>
        <w:t xml:space="preserve">Establishing an MRP in Virginia presents an opportunity to modernize the regulatory framework while promoting cost efficiency, investment certainty, and customer protection. However, for an MRP to be effective, it must be thoughtfully structured to balance the interests of utilities and ratepayers. As </w:t>
      </w:r>
      <w:r w:rsidRPr="004C7B44">
        <w:t>evidenced by the Maryland experience, poorly designed MRPs risk shifting burdens onto ratepayers without delivering commensurate benefits. As Virginia considers adopting an MRP framework,</w:t>
      </w:r>
      <w:r w:rsidR="00CA171D">
        <w:t xml:space="preserve"> it must give</w:t>
      </w:r>
      <w:r w:rsidRPr="004C7B44">
        <w:t xml:space="preserve"> careful attention to key design elements</w:t>
      </w:r>
      <w:r>
        <w:t xml:space="preserve"> such as ensuring that allowed revenues (adjusted through the ARM) do not directly track to utility costs, prohibiting reconciliation of utility overspending, </w:t>
      </w:r>
      <w:r w:rsidR="00D64BF8">
        <w:t>creating</w:t>
      </w:r>
      <w:r>
        <w:t xml:space="preserve"> </w:t>
      </w:r>
      <w:r w:rsidR="00D64BF8">
        <w:t xml:space="preserve">a </w:t>
      </w:r>
      <w:r>
        <w:t>stay-out period</w:t>
      </w:r>
      <w:r w:rsidR="00D64BF8">
        <w:t xml:space="preserve"> </w:t>
      </w:r>
      <w:r>
        <w:t xml:space="preserve">that balances risks to customers with incentives for utilities to reduce costs, and </w:t>
      </w:r>
      <w:r w:rsidR="00D64BF8">
        <w:t xml:space="preserve">developing an </w:t>
      </w:r>
      <w:r w:rsidR="00524F70">
        <w:t>ESM</w:t>
      </w:r>
      <w:r w:rsidR="00D64BF8">
        <w:t xml:space="preserve"> that </w:t>
      </w:r>
      <w:r w:rsidR="00D64BF8" w:rsidRPr="00D64BF8">
        <w:t>ensure</w:t>
      </w:r>
      <w:r w:rsidR="00D64BF8">
        <w:t>s</w:t>
      </w:r>
      <w:r w:rsidR="00D64BF8" w:rsidRPr="00D64BF8">
        <w:t xml:space="preserve"> that the utility does not over‐earn excessively</w:t>
      </w:r>
      <w:r w:rsidR="00D64BF8">
        <w:t>.</w:t>
      </w:r>
    </w:p>
    <w:p w14:paraId="2EF25512" w14:textId="570D78AB" w:rsidR="00B13AF6" w:rsidRPr="00D02929" w:rsidRDefault="00B13AF6" w:rsidP="00B13AF6">
      <w:r>
        <w:t>Overall, the design of Virginia’s MRP should be guided by clear goals: encouraging prudent utility behavior, aligning utility incentives with public interest outcomes, and ensuring that risks and rewards are equitably shared between utilities and customers. Through thoughtful integration of these design elements, Virginia can achieve a more resilient, efficient, and customer-focused utility regulatory model.</w:t>
      </w:r>
    </w:p>
    <w:sectPr w:rsidR="00B13AF6" w:rsidRPr="00D02929" w:rsidSect="00D02929">
      <w:footerReference w:type="default" r:id="rId19"/>
      <w:footerReference w:type="first" r:id="rId20"/>
      <w:pgSz w:w="12240" w:h="15840"/>
      <w:pgMar w:top="1440" w:right="1440" w:bottom="1440" w:left="1440" w:header="720" w:footer="720" w:gutter="0"/>
      <w:pgNumType w:start="1" w:chapStyle="7"/>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20A06" w14:textId="77777777" w:rsidR="00681927" w:rsidRDefault="00681927" w:rsidP="005430F6">
      <w:r>
        <w:separator/>
      </w:r>
    </w:p>
    <w:p w14:paraId="22472DF2" w14:textId="77777777" w:rsidR="00681927" w:rsidRDefault="00681927" w:rsidP="005430F6"/>
    <w:p w14:paraId="1FBA655F" w14:textId="77777777" w:rsidR="00681927" w:rsidRDefault="00681927" w:rsidP="005430F6"/>
  </w:endnote>
  <w:endnote w:type="continuationSeparator" w:id="0">
    <w:p w14:paraId="581750C6" w14:textId="77777777" w:rsidR="00681927" w:rsidRDefault="00681927" w:rsidP="005430F6">
      <w:r>
        <w:continuationSeparator/>
      </w:r>
    </w:p>
    <w:p w14:paraId="1182A655" w14:textId="77777777" w:rsidR="00681927" w:rsidRDefault="00681927" w:rsidP="005430F6"/>
    <w:p w14:paraId="5C33BBA8" w14:textId="77777777" w:rsidR="00681927" w:rsidRDefault="00681927" w:rsidP="00543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CBC" w14:textId="77777777" w:rsidR="00A07D24" w:rsidRDefault="00A07D24" w:rsidP="005430F6">
    <w:pPr>
      <w:pStyle w:val="Footer"/>
    </w:pPr>
  </w:p>
  <w:p w14:paraId="7BB1B34B" w14:textId="77777777" w:rsidR="004366A1" w:rsidRDefault="004366A1" w:rsidP="005430F6"/>
  <w:p w14:paraId="6B382CC5" w14:textId="77777777" w:rsidR="00AC519B" w:rsidRDefault="00AC519B" w:rsidP="00543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05CAA" w14:textId="0233C38D" w:rsidR="00AC519B" w:rsidRDefault="00227681" w:rsidP="0034449E">
    <w:pPr>
      <w:pStyle w:val="Footer"/>
      <w:tabs>
        <w:tab w:val="clear" w:pos="4680"/>
        <w:tab w:val="right" w:pos="8820"/>
      </w:tabs>
    </w:pPr>
    <w:r>
      <w:drawing>
        <wp:anchor distT="0" distB="0" distL="114300" distR="114300" simplePos="0" relativeHeight="251666432" behindDoc="0" locked="0" layoutInCell="1" allowOverlap="1" wp14:anchorId="7B0A8A23" wp14:editId="5E626064">
          <wp:simplePos x="0" y="0"/>
          <wp:positionH relativeFrom="column">
            <wp:posOffset>-274320</wp:posOffset>
          </wp:positionH>
          <wp:positionV relativeFrom="page">
            <wp:posOffset>9418320</wp:posOffset>
          </wp:positionV>
          <wp:extent cx="219456" cy="219456"/>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apse_small_rgb  (use in docs and on screen).jpg"/>
                  <pic:cNvPicPr/>
                </pic:nvPicPr>
                <pic:blipFill rotWithShape="1">
                  <a:blip r:embed="rId1" cstate="print">
                    <a:extLst>
                      <a:ext uri="{28A0092B-C50C-407E-A947-70E740481C1C}">
                        <a14:useLocalDpi xmlns:a14="http://schemas.microsoft.com/office/drawing/2010/main" val="0"/>
                      </a:ext>
                    </a:extLst>
                  </a:blip>
                  <a:srcRect r="63806"/>
                  <a:stretch/>
                </pic:blipFill>
                <pic:spPr bwMode="auto">
                  <a:xfrm>
                    <a:off x="0" y="0"/>
                    <a:ext cx="219456" cy="219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Synapse Energy Economics,</w:t>
    </w:r>
    <w:r w:rsidR="005762A2" w:rsidRPr="00A07D24">
      <w:t xml:space="preserve"> Inc.</w:t>
    </w:r>
    <w:r w:rsidR="005762A2" w:rsidRPr="00F25219">
      <w:tab/>
    </w:r>
    <w:sdt>
      <w:sdtPr>
        <w:rPr>
          <w:highlight w:val="green"/>
        </w:rPr>
        <w:id w:val="385230612"/>
        <w:docPartObj>
          <w:docPartGallery w:val="Page Numbers (Bottom of Page)"/>
          <w:docPartUnique/>
        </w:docPartObj>
      </w:sdtPr>
      <w:sdtEndPr>
        <w:rPr>
          <w:highlight w:val="none"/>
        </w:rPr>
      </w:sdtEndPr>
      <w:sdtContent>
        <w:sdt>
          <w:sdtPr>
            <w:rPr>
              <w:highlight w:val="green"/>
            </w:rPr>
            <w:id w:val="1969782689"/>
            <w:docPartObj>
              <w:docPartGallery w:val="Page Numbers (Bottom of Page)"/>
              <w:docPartUnique/>
            </w:docPartObj>
          </w:sdtPr>
          <w:sdtEndPr>
            <w:rPr>
              <w:highlight w:val="none"/>
            </w:rPr>
          </w:sdtEndPr>
          <w:sdtContent>
            <w:r w:rsidR="0017367E" w:rsidRPr="005430F6">
              <w:rPr>
                <w:i/>
              </w:rPr>
              <w:t>Type Title of Report here</w:t>
            </w:r>
            <w:r w:rsidR="0034449E">
              <w:rPr>
                <w:i/>
              </w:rPr>
              <w:tab/>
            </w:r>
            <w:r w:rsidR="001874CE" w:rsidRPr="00861CD8">
              <w:rPr>
                <w:rFonts w:cs="Arial"/>
              </w:rPr>
              <w:fldChar w:fldCharType="begin"/>
            </w:r>
            <w:r w:rsidR="001874CE" w:rsidRPr="00861CD8">
              <w:rPr>
                <w:rFonts w:cs="Arial"/>
              </w:rPr>
              <w:instrText xml:space="preserve"> PAGE   \* MERGEFORMAT </w:instrText>
            </w:r>
            <w:r w:rsidR="001874CE" w:rsidRPr="00861CD8">
              <w:rPr>
                <w:rFonts w:cs="Arial"/>
              </w:rPr>
              <w:fldChar w:fldCharType="separate"/>
            </w:r>
            <w:r w:rsidR="00362A66">
              <w:rPr>
                <w:rFonts w:cs="Arial"/>
              </w:rPr>
              <w:t>2</w:t>
            </w:r>
            <w:r w:rsidR="001874CE" w:rsidRPr="00861CD8">
              <w:rPr>
                <w:rFonts w:cs="Arial"/>
              </w:rPr>
              <w:fldChar w:fldCharType="end"/>
            </w:r>
          </w:sdtContent>
        </w:sdt>
        <w:r w:rsidR="001874C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810F1" w14:textId="77777777" w:rsidR="000C543A" w:rsidRDefault="00227681" w:rsidP="00DB448F">
    <w:pPr>
      <w:tabs>
        <w:tab w:val="left" w:pos="5760"/>
      </w:tabs>
      <w:autoSpaceDE w:val="0"/>
      <w:autoSpaceDN w:val="0"/>
      <w:adjustRightInd w:val="0"/>
      <w:spacing w:after="0" w:line="320" w:lineRule="exact"/>
      <w:ind w:right="-360"/>
      <w:rPr>
        <w:rFonts w:cs="Calibri"/>
        <w:noProof/>
        <w:color w:val="555555"/>
      </w:rPr>
    </w:pPr>
    <w:r>
      <w:rPr>
        <w:noProof/>
      </w:rPr>
      <w:drawing>
        <wp:anchor distT="0" distB="0" distL="114300" distR="114300" simplePos="0" relativeHeight="251664384" behindDoc="0" locked="0" layoutInCell="1" allowOverlap="1" wp14:anchorId="3023D7CA" wp14:editId="68C29E5B">
          <wp:simplePos x="0" y="0"/>
          <wp:positionH relativeFrom="column">
            <wp:posOffset>3657600</wp:posOffset>
          </wp:positionH>
          <wp:positionV relativeFrom="page">
            <wp:posOffset>7367081</wp:posOffset>
          </wp:positionV>
          <wp:extent cx="2189038" cy="622570"/>
          <wp:effectExtent l="0" t="0" r="190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97283" cy="624915"/>
                  </a:xfrm>
                  <a:prstGeom prst="rect">
                    <a:avLst/>
                  </a:prstGeom>
                </pic:spPr>
              </pic:pic>
            </a:graphicData>
          </a:graphic>
          <wp14:sizeRelH relativeFrom="page">
            <wp14:pctWidth>0</wp14:pctWidth>
          </wp14:sizeRelH>
          <wp14:sizeRelV relativeFrom="page">
            <wp14:pctHeight>0</wp14:pctHeight>
          </wp14:sizeRelV>
        </wp:anchor>
      </w:drawing>
    </w:r>
  </w:p>
  <w:p w14:paraId="434ED733" w14:textId="77777777" w:rsidR="000C543A" w:rsidRDefault="000C543A" w:rsidP="006F0579">
    <w:pPr>
      <w:autoSpaceDE w:val="0"/>
      <w:autoSpaceDN w:val="0"/>
      <w:adjustRightInd w:val="0"/>
      <w:spacing w:after="0" w:line="320" w:lineRule="exact"/>
      <w:ind w:left="5670" w:right="-360"/>
      <w:rPr>
        <w:rFonts w:cs="Calibri"/>
        <w:noProof/>
        <w:color w:val="555555"/>
      </w:rPr>
    </w:pPr>
  </w:p>
  <w:p w14:paraId="42A29DDD" w14:textId="77777777" w:rsidR="000C543A" w:rsidRDefault="000C543A" w:rsidP="006F0579">
    <w:pPr>
      <w:autoSpaceDE w:val="0"/>
      <w:autoSpaceDN w:val="0"/>
      <w:adjustRightInd w:val="0"/>
      <w:spacing w:after="0" w:line="320" w:lineRule="exact"/>
      <w:ind w:left="5670" w:right="-360"/>
      <w:rPr>
        <w:rFonts w:cs="Calibri"/>
        <w:noProof/>
        <w:color w:val="555555"/>
      </w:rPr>
    </w:pPr>
  </w:p>
  <w:p w14:paraId="738EF50F" w14:textId="77777777" w:rsidR="006F0579" w:rsidRPr="00DB448F" w:rsidRDefault="006F0579" w:rsidP="0037356A">
    <w:pPr>
      <w:autoSpaceDE w:val="0"/>
      <w:autoSpaceDN w:val="0"/>
      <w:adjustRightInd w:val="0"/>
      <w:spacing w:after="0" w:line="320" w:lineRule="exact"/>
      <w:ind w:right="-360"/>
      <w:rPr>
        <w:rFonts w:cs="Calibri"/>
        <w:color w:val="555555"/>
      </w:rPr>
    </w:pPr>
  </w:p>
  <w:p w14:paraId="4E5C2F1E" w14:textId="77777777" w:rsidR="00DB448F" w:rsidRPr="00DB448F" w:rsidRDefault="00DB448F" w:rsidP="00DB448F">
    <w:pPr>
      <w:autoSpaceDE w:val="0"/>
      <w:autoSpaceDN w:val="0"/>
      <w:adjustRightInd w:val="0"/>
      <w:spacing w:after="0" w:line="240" w:lineRule="auto"/>
      <w:ind w:left="5760" w:right="-360"/>
      <w:rPr>
        <w:rFonts w:cs="Calibri"/>
        <w:color w:val="555555"/>
        <w:sz w:val="18"/>
      </w:rPr>
    </w:pPr>
  </w:p>
  <w:p w14:paraId="418876AD" w14:textId="03968858" w:rsidR="00D53C20" w:rsidRPr="000C543A" w:rsidRDefault="00D53C20" w:rsidP="00DB448F">
    <w:pPr>
      <w:autoSpaceDE w:val="0"/>
      <w:autoSpaceDN w:val="0"/>
      <w:adjustRightInd w:val="0"/>
      <w:spacing w:after="0" w:line="320" w:lineRule="exact"/>
      <w:ind w:left="5760" w:right="-360"/>
      <w:rPr>
        <w:rFonts w:cs="Calibri"/>
        <w:color w:val="555555"/>
      </w:rPr>
    </w:pPr>
    <w:r w:rsidRPr="000C543A">
      <w:rPr>
        <w:rFonts w:cs="Calibri"/>
        <w:color w:val="555555"/>
      </w:rPr>
      <w:t xml:space="preserve">485 Massachusetts Avenue, Suite </w:t>
    </w:r>
    <w:r w:rsidR="00037CF9">
      <w:rPr>
        <w:rFonts w:cs="Calibri"/>
        <w:color w:val="555555"/>
      </w:rPr>
      <w:t>3</w:t>
    </w:r>
    <w:r w:rsidRPr="000C543A">
      <w:rPr>
        <w:rFonts w:cs="Calibri"/>
        <w:color w:val="555555"/>
      </w:rPr>
      <w:t xml:space="preserve"> Cambridge, Massachusetts 02139</w:t>
    </w:r>
  </w:p>
  <w:p w14:paraId="2B3DB074" w14:textId="77777777" w:rsidR="00D53C20" w:rsidRPr="00D53C20" w:rsidRDefault="00D53C20" w:rsidP="00DB448F">
    <w:pPr>
      <w:autoSpaceDE w:val="0"/>
      <w:autoSpaceDN w:val="0"/>
      <w:adjustRightInd w:val="0"/>
      <w:spacing w:after="0" w:line="240" w:lineRule="auto"/>
      <w:ind w:left="5760" w:right="-360"/>
      <w:rPr>
        <w:rFonts w:cs="Calibri"/>
        <w:color w:val="555555"/>
        <w:sz w:val="18"/>
      </w:rPr>
    </w:pPr>
  </w:p>
  <w:p w14:paraId="78A7114D" w14:textId="77777777" w:rsidR="000641B9" w:rsidRDefault="001E5A66" w:rsidP="00DB448F">
    <w:pPr>
      <w:pStyle w:val="Header"/>
      <w:tabs>
        <w:tab w:val="clear" w:pos="4680"/>
      </w:tabs>
      <w:spacing w:line="320" w:lineRule="exact"/>
      <w:ind w:left="5760" w:right="-360"/>
      <w:rPr>
        <w:rFonts w:cs="Calibri"/>
        <w:color w:val="555555"/>
      </w:rPr>
    </w:pPr>
    <w:r>
      <w:rPr>
        <w:noProof/>
      </w:rPr>
      <mc:AlternateContent>
        <mc:Choice Requires="wps">
          <w:drawing>
            <wp:anchor distT="0" distB="0" distL="114300" distR="114300" simplePos="0" relativeHeight="251661312" behindDoc="1" locked="1" layoutInCell="1" allowOverlap="1" wp14:anchorId="0792386A" wp14:editId="738E9A32">
              <wp:simplePos x="0" y="0"/>
              <wp:positionH relativeFrom="column">
                <wp:posOffset>-228600</wp:posOffset>
              </wp:positionH>
              <wp:positionV relativeFrom="page">
                <wp:posOffset>9170035</wp:posOffset>
              </wp:positionV>
              <wp:extent cx="6428105" cy="0"/>
              <wp:effectExtent l="0" t="0" r="0" b="0"/>
              <wp:wrapTopAndBottom/>
              <wp:docPr id="4" name="Straight Connector 4"/>
              <wp:cNvGraphicFramePr/>
              <a:graphic xmlns:a="http://schemas.openxmlformats.org/drawingml/2006/main">
                <a:graphicData uri="http://schemas.microsoft.com/office/word/2010/wordprocessingShape">
                  <wps:wsp>
                    <wps:cNvCnPr/>
                    <wps:spPr>
                      <a:xfrm>
                        <a:off x="0" y="0"/>
                        <a:ext cx="6428105"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fl="http://schemas.microsoft.com/office/word/2024/wordml/sdtformatlock">
          <w:pict>
            <v:line id="Straight Connector 4"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f8ab48 [3206]" strokeweight="2pt" from="-18pt,722.05pt" to="488.15pt,722.05pt" w14:anchorId="1966B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">
              <w10:wrap type="topAndBottom" anchory="page"/>
              <w10:anchorlock/>
            </v:line>
          </w:pict>
        </mc:Fallback>
      </mc:AlternateContent>
    </w:r>
    <w:r w:rsidR="00D53C20" w:rsidRPr="000C543A">
      <w:rPr>
        <w:rFonts w:cs="Calibri"/>
        <w:color w:val="555555"/>
      </w:rPr>
      <w:t xml:space="preserve">617.661.3248 | </w:t>
    </w:r>
    <w:hyperlink r:id="rId2" w:history="1">
      <w:r w:rsidR="00445F8E" w:rsidRPr="000C543A">
        <w:rPr>
          <w:rFonts w:cs="Calibri"/>
          <w:color w:val="555555"/>
        </w:rPr>
        <w:t>www.synapse-energy.com</w:t>
      </w:r>
    </w:hyperlink>
  </w:p>
  <w:p w14:paraId="3C4FBBE5" w14:textId="77777777" w:rsidR="002000FA" w:rsidRDefault="002000FA" w:rsidP="00DB448F">
    <w:pPr>
      <w:pStyle w:val="Header"/>
      <w:tabs>
        <w:tab w:val="clear" w:pos="4680"/>
      </w:tabs>
      <w:spacing w:line="320" w:lineRule="exact"/>
      <w:ind w:left="5760" w:right="-360"/>
      <w:rPr>
        <w:rFonts w:cs="Calibri"/>
        <w:color w:val="555555"/>
      </w:rPr>
    </w:pPr>
  </w:p>
  <w:p w14:paraId="59E82305" w14:textId="77777777" w:rsidR="007773D1" w:rsidRPr="000C543A" w:rsidRDefault="007773D1" w:rsidP="00DB448F">
    <w:pPr>
      <w:pStyle w:val="Header"/>
      <w:tabs>
        <w:tab w:val="clear" w:pos="4680"/>
      </w:tabs>
      <w:spacing w:line="320" w:lineRule="exact"/>
      <w:ind w:left="5760" w:right="-360"/>
      <w:rPr>
        <w:rFonts w:cs="Calibri"/>
        <w:color w:val="555555"/>
      </w:rPr>
    </w:pPr>
  </w:p>
  <w:p w14:paraId="3994670F" w14:textId="77777777" w:rsidR="000C543A" w:rsidRDefault="000C543A" w:rsidP="006F0579">
    <w:pPr>
      <w:pStyle w:val="Header"/>
      <w:tabs>
        <w:tab w:val="clear" w:pos="4680"/>
      </w:tabs>
      <w:spacing w:line="320" w:lineRule="exact"/>
      <w:ind w:left="5670" w:right="-360"/>
      <w:rPr>
        <w:rFonts w:cs="Calibri"/>
        <w:color w:val="55555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1576" w14:textId="34F622C9" w:rsidR="00AB4DDD" w:rsidRPr="00D26961" w:rsidRDefault="00AB4DDD" w:rsidP="0027410A">
    <w:pPr>
      <w:pStyle w:val="Footer"/>
      <w:pBdr>
        <w:top w:val="single" w:sz="4" w:space="3" w:color="18224A" w:themeColor="accent5"/>
      </w:pBdr>
      <w:tabs>
        <w:tab w:val="clear" w:pos="4680"/>
        <w:tab w:val="right" w:pos="8820"/>
      </w:tabs>
    </w:pPr>
    <w:r>
      <w:drawing>
        <wp:anchor distT="0" distB="0" distL="114300" distR="114300" simplePos="0" relativeHeight="251684864" behindDoc="0" locked="0" layoutInCell="1" allowOverlap="1" wp14:anchorId="456546C7" wp14:editId="3067338E">
          <wp:simplePos x="0" y="0"/>
          <wp:positionH relativeFrom="column">
            <wp:posOffset>-274320</wp:posOffset>
          </wp:positionH>
          <wp:positionV relativeFrom="page">
            <wp:posOffset>9418320</wp:posOffset>
          </wp:positionV>
          <wp:extent cx="219456" cy="219456"/>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apse_small_rgb  (use in docs and on screen).jpg"/>
                  <pic:cNvPicPr/>
                </pic:nvPicPr>
                <pic:blipFill rotWithShape="1">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r="63806"/>
                  <a:stretch/>
                </pic:blipFill>
                <pic:spPr bwMode="auto">
                  <a:xfrm>
                    <a:off x="0" y="0"/>
                    <a:ext cx="219456" cy="219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Synapse Energy Economics,</w:t>
    </w:r>
    <w:r w:rsidRPr="00A07D24">
      <w:t xml:space="preserve"> Inc.</w:t>
    </w:r>
    <w:r w:rsidRPr="00F25219">
      <w:tab/>
    </w:r>
    <w:sdt>
      <w:sdtPr>
        <w:rPr>
          <w:highlight w:val="green"/>
        </w:rPr>
        <w:id w:val="161669347"/>
        <w:docPartObj>
          <w:docPartGallery w:val="Page Numbers (Bottom of Page)"/>
          <w:docPartUnique/>
        </w:docPartObj>
      </w:sdtPr>
      <w:sdtEndPr>
        <w:rPr>
          <w:highlight w:val="none"/>
        </w:rPr>
      </w:sdtEndPr>
      <w:sdtContent>
        <w:sdt>
          <w:sdtPr>
            <w:rPr>
              <w:highlight w:val="green"/>
            </w:rPr>
            <w:id w:val="-1130400759"/>
            <w:docPartObj>
              <w:docPartGallery w:val="Page Numbers (Bottom of Page)"/>
              <w:docPartUnique/>
            </w:docPartObj>
          </w:sdtPr>
          <w:sdtEndPr>
            <w:rPr>
              <w:highlight w:val="none"/>
            </w:rPr>
          </w:sdtEndPr>
          <w:sdtContent>
            <w:r>
              <w:rPr>
                <w:i/>
              </w:rPr>
              <w:tab/>
            </w:r>
            <w:r w:rsidRPr="00861CD8">
              <w:rPr>
                <w:rFonts w:cs="Arial"/>
              </w:rPr>
              <w:fldChar w:fldCharType="begin"/>
            </w:r>
            <w:r w:rsidRPr="00861CD8">
              <w:rPr>
                <w:rFonts w:cs="Arial"/>
              </w:rPr>
              <w:instrText xml:space="preserve"> PAGE   \* MERGEFORMAT </w:instrText>
            </w:r>
            <w:r w:rsidRPr="00861CD8">
              <w:rPr>
                <w:rFonts w:cs="Arial"/>
              </w:rPr>
              <w:fldChar w:fldCharType="separate"/>
            </w:r>
            <w:r>
              <w:rPr>
                <w:rFonts w:cs="Arial"/>
              </w:rPr>
              <w:t>1</w:t>
            </w:r>
            <w:r w:rsidRPr="00861CD8">
              <w:rPr>
                <w:rFonts w:cs="Arial"/>
              </w:rPr>
              <w:fldChar w:fldCharType="end"/>
            </w:r>
          </w:sdtContent>
        </w:sdt>
        <w: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A750" w14:textId="4F6A018B" w:rsidR="00AB4DDD" w:rsidRDefault="00AB4DDD" w:rsidP="0027410A">
    <w:pPr>
      <w:pStyle w:val="Footer"/>
      <w:pBdr>
        <w:top w:val="single" w:sz="4" w:space="3" w:color="18224A" w:themeColor="accent5"/>
      </w:pBdr>
      <w:tabs>
        <w:tab w:val="clear" w:pos="4680"/>
        <w:tab w:val="right" w:pos="8820"/>
      </w:tabs>
    </w:pPr>
    <w:r>
      <w:drawing>
        <wp:anchor distT="0" distB="0" distL="114300" distR="114300" simplePos="0" relativeHeight="251686912" behindDoc="0" locked="0" layoutInCell="1" allowOverlap="1" wp14:anchorId="363861D5" wp14:editId="144EEAA8">
          <wp:simplePos x="0" y="0"/>
          <wp:positionH relativeFrom="column">
            <wp:posOffset>-274320</wp:posOffset>
          </wp:positionH>
          <wp:positionV relativeFrom="page">
            <wp:posOffset>9418320</wp:posOffset>
          </wp:positionV>
          <wp:extent cx="219456" cy="219456"/>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apse_small_rgb  (use in docs and on screen).jpg"/>
                  <pic:cNvPicPr/>
                </pic:nvPicPr>
                <pic:blipFill rotWithShape="1">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r="63806"/>
                  <a:stretch/>
                </pic:blipFill>
                <pic:spPr bwMode="auto">
                  <a:xfrm>
                    <a:off x="0" y="0"/>
                    <a:ext cx="219456" cy="2194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Synapse Energy Economics,</w:t>
    </w:r>
    <w:r w:rsidRPr="00A07D24">
      <w:t xml:space="preserve"> Inc.</w:t>
    </w:r>
    <w:r w:rsidRPr="00F25219">
      <w:tab/>
    </w:r>
    <w:sdt>
      <w:sdtPr>
        <w:rPr>
          <w:highlight w:val="green"/>
        </w:rPr>
        <w:id w:val="-1031881464"/>
        <w:docPartObj>
          <w:docPartGallery w:val="Page Numbers (Bottom of Page)"/>
          <w:docPartUnique/>
        </w:docPartObj>
      </w:sdtPr>
      <w:sdtEndPr>
        <w:rPr>
          <w:highlight w:val="none"/>
        </w:rPr>
      </w:sdtEndPr>
      <w:sdtContent>
        <w:sdt>
          <w:sdtPr>
            <w:rPr>
              <w:highlight w:val="green"/>
            </w:rPr>
            <w:id w:val="1290092855"/>
            <w:docPartObj>
              <w:docPartGallery w:val="Page Numbers (Bottom of Page)"/>
              <w:docPartUnique/>
            </w:docPartObj>
          </w:sdtPr>
          <w:sdtEndPr>
            <w:rPr>
              <w:highlight w:val="none"/>
            </w:rPr>
          </w:sdtEndPr>
          <w:sdtContent>
            <w:r w:rsidR="00F27620" w:rsidRPr="00F27620">
              <w:rPr>
                <w:i/>
              </w:rPr>
              <w:t>Design Considerations for a Multi-Year Rate Plan Framework in Virgina</w:t>
            </w:r>
            <w:r>
              <w:rPr>
                <w:i/>
              </w:rPr>
              <w:tab/>
            </w:r>
            <w:r w:rsidRPr="00861CD8">
              <w:rPr>
                <w:rFonts w:cs="Arial"/>
              </w:rPr>
              <w:fldChar w:fldCharType="begin"/>
            </w:r>
            <w:r w:rsidRPr="00861CD8">
              <w:rPr>
                <w:rFonts w:cs="Arial"/>
              </w:rPr>
              <w:instrText xml:space="preserve"> PAGE   \* MERGEFORMAT </w:instrText>
            </w:r>
            <w:r w:rsidRPr="00861CD8">
              <w:rPr>
                <w:rFonts w:cs="Arial"/>
              </w:rPr>
              <w:fldChar w:fldCharType="separate"/>
            </w:r>
            <w:r>
              <w:rPr>
                <w:rFonts w:cs="Arial"/>
              </w:rPr>
              <w:t>2</w:t>
            </w:r>
            <w:r w:rsidRPr="00861CD8">
              <w:rPr>
                <w:rFonts w:cs="Arial"/>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12FBE" w14:textId="77777777" w:rsidR="00D02929" w:rsidRPr="00D26961" w:rsidRDefault="00D02929" w:rsidP="00D26961">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B712B" w14:textId="77777777" w:rsidR="00681927" w:rsidRDefault="00681927" w:rsidP="00D330DC">
      <w:pPr>
        <w:spacing w:before="240" w:after="60"/>
      </w:pPr>
      <w:r>
        <w:separator/>
      </w:r>
    </w:p>
  </w:footnote>
  <w:footnote w:type="continuationSeparator" w:id="0">
    <w:p w14:paraId="7F52DF13" w14:textId="77777777" w:rsidR="00681927" w:rsidRDefault="00681927" w:rsidP="005430F6">
      <w:r>
        <w:continuationSeparator/>
      </w:r>
    </w:p>
    <w:p w14:paraId="2944DC1B" w14:textId="77777777" w:rsidR="00681927" w:rsidRDefault="00681927" w:rsidP="005430F6"/>
    <w:p w14:paraId="51BCC98E" w14:textId="77777777" w:rsidR="00681927" w:rsidRDefault="00681927" w:rsidP="005430F6"/>
  </w:footnote>
  <w:footnote w:id="1">
    <w:p w14:paraId="481C0241" w14:textId="6CF5ABFD" w:rsidR="00C773CD" w:rsidRDefault="00C773CD" w:rsidP="008E6EED">
      <w:pPr>
        <w:pStyle w:val="Footnote"/>
      </w:pPr>
      <w:r>
        <w:rPr>
          <w:rStyle w:val="FootnoteReference"/>
        </w:rPr>
        <w:footnoteRef/>
      </w:r>
      <w:r>
        <w:t xml:space="preserve"> Bureau of Labor Statistics, </w:t>
      </w:r>
      <w:r w:rsidR="00731B32">
        <w:t>Productivity 101,</w:t>
      </w:r>
      <w:r w:rsidRPr="00731B32">
        <w:t xml:space="preserve"> U.S. Bureau of Labor Statistics</w:t>
      </w:r>
      <w:r w:rsidR="00731B32">
        <w:t xml:space="preserve"> website: </w:t>
      </w:r>
      <w:r w:rsidR="00731B32" w:rsidRPr="00731B32">
        <w:t>https://www.bls.gov/k12/productivity-101/content/what-is-productivity/what-is-multifactor-productivity.htm#:~:text=Multifactor%20productivity%20%28MFP%29%20is%20a%20measure%20of%20economic,include%20labor%2C%20capital%2C%20energy%2C%20materials%2C%20and%20purchased%20services.</w:t>
      </w:r>
    </w:p>
  </w:footnote>
  <w:footnote w:id="2">
    <w:p w14:paraId="2FF503DF" w14:textId="507C907D" w:rsidR="7B5557BC" w:rsidRDefault="7B5557BC" w:rsidP="008E6EED">
      <w:pPr>
        <w:pStyle w:val="Footnote"/>
      </w:pPr>
      <w:r w:rsidRPr="7B5557BC">
        <w:rPr>
          <w:rStyle w:val="FootnoteReference"/>
        </w:rPr>
        <w:footnoteRef/>
      </w:r>
      <w:r>
        <w:t xml:space="preserve"> Lowry</w:t>
      </w:r>
      <w:r w:rsidR="007B31AF">
        <w:t>,</w:t>
      </w:r>
      <w:r>
        <w:t xml:space="preserve"> </w:t>
      </w:r>
      <w:r w:rsidR="007B31AF">
        <w:t>Mark</w:t>
      </w:r>
      <w:r w:rsidR="00742FA8">
        <w:t xml:space="preserve"> N.</w:t>
      </w:r>
      <w:r w:rsidR="007B31AF">
        <w:t xml:space="preserve"> </w:t>
      </w:r>
      <w:r>
        <w:t>et al.</w:t>
      </w:r>
      <w:r w:rsidR="007B31AF">
        <w:t xml:space="preserve"> 2017.</w:t>
      </w:r>
      <w:r>
        <w:t xml:space="preserve"> “State Performance‐Based Regulation Using Multiyear Rate Plans for U.S. Electric Utilities</w:t>
      </w:r>
      <w:r w:rsidR="00742FA8">
        <w:t>.</w:t>
      </w:r>
      <w:r>
        <w:t>” Lawrence Berkeley National Laboratory.</w:t>
      </w:r>
      <w:r w:rsidR="007B31AF">
        <w:t xml:space="preserve"> </w:t>
      </w:r>
    </w:p>
  </w:footnote>
  <w:footnote w:id="3">
    <w:p w14:paraId="03960389" w14:textId="5A0E1A54" w:rsidR="0025502F" w:rsidRDefault="0025502F" w:rsidP="008E6EED">
      <w:pPr>
        <w:pStyle w:val="Footnote"/>
      </w:pPr>
      <w:r>
        <w:rPr>
          <w:rStyle w:val="FootnoteReference"/>
        </w:rPr>
        <w:footnoteRef/>
      </w:r>
      <w:r>
        <w:t xml:space="preserve"> </w:t>
      </w:r>
      <w:r w:rsidR="00742FA8" w:rsidRPr="00742FA8">
        <w:t>Lowry, Mark</w:t>
      </w:r>
      <w:r w:rsidR="00742FA8">
        <w:t xml:space="preserve"> N.,</w:t>
      </w:r>
      <w:r w:rsidR="00742FA8" w:rsidRPr="00742FA8">
        <w:t xml:space="preserve"> David A. Hovde, Rebecca Kavan, Matthew Makos. 2023. "Impact of multiyear rate plans on power distributor productivity: Evidence from Alberta." </w:t>
      </w:r>
      <w:r w:rsidR="00742FA8" w:rsidRPr="008E6EED">
        <w:rPr>
          <w:i/>
          <w:iCs/>
        </w:rPr>
        <w:t>The Electricity Journal</w:t>
      </w:r>
      <w:r w:rsidR="00742FA8" w:rsidRPr="00742FA8">
        <w:t xml:space="preserve">, Volume 36, Issue 5, </w:t>
      </w:r>
      <w:r w:rsidR="00742FA8">
        <w:t xml:space="preserve">pg. 5. </w:t>
      </w:r>
      <w:r w:rsidR="00742FA8" w:rsidRPr="00742FA8">
        <w:t>107288, ISSN 1040-6190, https://doi.org/10.1016/j.tej.2023.107288.</w:t>
      </w:r>
    </w:p>
  </w:footnote>
  <w:footnote w:id="4">
    <w:p w14:paraId="7CAAED6F" w14:textId="4FADD904" w:rsidR="00731B32" w:rsidRDefault="00731B32" w:rsidP="008E6EED">
      <w:pPr>
        <w:pStyle w:val="Footnote"/>
      </w:pPr>
      <w:r>
        <w:rPr>
          <w:rStyle w:val="FootnoteReference"/>
        </w:rPr>
        <w:footnoteRef/>
      </w:r>
      <w:r>
        <w:t xml:space="preserve"> </w:t>
      </w:r>
      <w:r w:rsidRPr="00731B32">
        <w:rPr>
          <w:i/>
          <w:iCs/>
        </w:rPr>
        <w:t>Id.</w:t>
      </w:r>
      <w:r>
        <w:t>, pg. 7</w:t>
      </w:r>
    </w:p>
  </w:footnote>
  <w:footnote w:id="5">
    <w:p w14:paraId="3B77AA54" w14:textId="095A7A2A" w:rsidR="009F2E4E" w:rsidRDefault="009F2E4E" w:rsidP="008E6EED">
      <w:pPr>
        <w:pStyle w:val="Footnote"/>
      </w:pPr>
      <w:r>
        <w:rPr>
          <w:rStyle w:val="FootnoteReference"/>
        </w:rPr>
        <w:footnoteRef/>
      </w:r>
      <w:r>
        <w:t xml:space="preserve"> Public Service Commission of Maryland</w:t>
      </w:r>
      <w:r w:rsidR="00136E66">
        <w:t xml:space="preserve"> (MD PSC)</w:t>
      </w:r>
      <w:r>
        <w:t>, Case No. 9618.</w:t>
      </w:r>
    </w:p>
  </w:footnote>
  <w:footnote w:id="6">
    <w:p w14:paraId="6AF44761" w14:textId="793561B3" w:rsidR="00DE0042" w:rsidRDefault="00DE0042" w:rsidP="008E6EED">
      <w:pPr>
        <w:pStyle w:val="Footnote"/>
      </w:pPr>
      <w:r>
        <w:rPr>
          <w:rStyle w:val="FootnoteReference"/>
        </w:rPr>
        <w:footnoteRef/>
      </w:r>
      <w:r>
        <w:t xml:space="preserve"> </w:t>
      </w:r>
      <w:r w:rsidR="00136E66">
        <w:t>MD PSC</w:t>
      </w:r>
      <w:r>
        <w:t xml:space="preserve"> Case No. 9618, In the Matter of Alternative Rate Plans or Methodologies to Establish New Base Rates for an Electric Company or Gas Company, </w:t>
      </w:r>
      <w:r w:rsidRPr="00136E66">
        <w:rPr>
          <w:i/>
          <w:iCs/>
        </w:rPr>
        <w:t>Comments of the Maryland Energy Administration on Multi-Year Rate Plan</w:t>
      </w:r>
      <w:r>
        <w:t>, pg. 2.</w:t>
      </w:r>
    </w:p>
  </w:footnote>
  <w:footnote w:id="7">
    <w:p w14:paraId="11D7BDCC" w14:textId="3E026AF8" w:rsidR="00DE0042" w:rsidRDefault="00DE0042" w:rsidP="008E6EED">
      <w:pPr>
        <w:pStyle w:val="Footnote"/>
      </w:pPr>
      <w:r>
        <w:rPr>
          <w:rStyle w:val="FootnoteReference"/>
        </w:rPr>
        <w:footnoteRef/>
      </w:r>
      <w:r>
        <w:t xml:space="preserve"> </w:t>
      </w:r>
      <w:r w:rsidRPr="00DE0042">
        <w:rPr>
          <w:i/>
          <w:iCs/>
        </w:rPr>
        <w:t>Id</w:t>
      </w:r>
      <w:r>
        <w:t>., pg. 3</w:t>
      </w:r>
    </w:p>
  </w:footnote>
  <w:footnote w:id="8">
    <w:p w14:paraId="357E1FEB" w14:textId="2D4750B3" w:rsidR="00237E86" w:rsidRDefault="00237E86" w:rsidP="008E6EED">
      <w:pPr>
        <w:pStyle w:val="Footnote"/>
      </w:pPr>
      <w:r>
        <w:rPr>
          <w:rStyle w:val="FootnoteReference"/>
        </w:rPr>
        <w:footnoteRef/>
      </w:r>
      <w:r>
        <w:t xml:space="preserve"> </w:t>
      </w:r>
      <w:r w:rsidR="00136E66">
        <w:t>MD PSC</w:t>
      </w:r>
      <w:r w:rsidRPr="00B72772">
        <w:t xml:space="preserve"> Case No. 9618, In the Matter of Alternative Rate Plans or Methodologies to Establish New Base Rates for an Electric Company or Gas Company, Reply Comments of the Maryland Office of Peoples Counsel, </w:t>
      </w:r>
      <w:r w:rsidR="00136E66">
        <w:t>pg.</w:t>
      </w:r>
      <w:r w:rsidRPr="00B72772">
        <w:t xml:space="preserve"> 1</w:t>
      </w:r>
      <w:r>
        <w:t>3.</w:t>
      </w:r>
    </w:p>
  </w:footnote>
  <w:footnote w:id="9">
    <w:p w14:paraId="429B387D" w14:textId="1E9FBD72" w:rsidR="00237E86" w:rsidRDefault="00237E86" w:rsidP="008E6EED">
      <w:pPr>
        <w:pStyle w:val="Footnote"/>
      </w:pPr>
      <w:r>
        <w:rPr>
          <w:rStyle w:val="FootnoteReference"/>
        </w:rPr>
        <w:footnoteRef/>
      </w:r>
      <w:r>
        <w:t xml:space="preserve"> </w:t>
      </w:r>
      <w:r w:rsidR="00136E66" w:rsidRPr="00136E66">
        <w:rPr>
          <w:i/>
          <w:iCs/>
        </w:rPr>
        <w:t>Id.</w:t>
      </w:r>
      <w:r w:rsidR="00136E66">
        <w:t>, pg.</w:t>
      </w:r>
      <w:r w:rsidRPr="00B72772">
        <w:t xml:space="preserve"> </w:t>
      </w:r>
      <w:r>
        <w:t>15.</w:t>
      </w:r>
    </w:p>
  </w:footnote>
  <w:footnote w:id="10">
    <w:p w14:paraId="20688081" w14:textId="77777777" w:rsidR="00126E1C" w:rsidRDefault="00126E1C" w:rsidP="008E6EED">
      <w:pPr>
        <w:pStyle w:val="Footnote10"/>
      </w:pPr>
      <w:r>
        <w:rPr>
          <w:rStyle w:val="FootnoteReference"/>
        </w:rPr>
        <w:footnoteRef/>
      </w:r>
      <w:r>
        <w:t xml:space="preserve"> New York Public Service Commission, </w:t>
      </w:r>
      <w:r w:rsidRPr="00A133CD">
        <w:t>Case 13</w:t>
      </w:r>
      <w:r w:rsidRPr="00A133CD">
        <w:rPr>
          <w:rFonts w:ascii="Cambria Math" w:hAnsi="Cambria Math" w:cs="Cambria Math"/>
        </w:rPr>
        <w:t>‐</w:t>
      </w:r>
      <w:r w:rsidRPr="00A133CD">
        <w:t>E</w:t>
      </w:r>
      <w:r w:rsidRPr="00A133CD">
        <w:rPr>
          <w:rFonts w:ascii="Cambria Math" w:hAnsi="Cambria Math" w:cs="Cambria Math"/>
        </w:rPr>
        <w:t>‐</w:t>
      </w:r>
      <w:r w:rsidRPr="00A133CD">
        <w:t>0030</w:t>
      </w:r>
      <w:r>
        <w:t>.</w:t>
      </w:r>
    </w:p>
  </w:footnote>
  <w:footnote w:id="11">
    <w:p w14:paraId="5DF5C562" w14:textId="45DC4C37" w:rsidR="00990870" w:rsidRDefault="00990870" w:rsidP="008E6EED">
      <w:pPr>
        <w:pStyle w:val="Footnote10"/>
      </w:pPr>
      <w:r>
        <w:rPr>
          <w:rStyle w:val="FootnoteReference"/>
        </w:rPr>
        <w:footnoteRef/>
      </w:r>
      <w:r>
        <w:t xml:space="preserve"> Lowry, M.</w:t>
      </w:r>
      <w:r w:rsidR="009F5935">
        <w:t>N.</w:t>
      </w:r>
      <w:r>
        <w:t>, Makos, M., and Kavan, R. 2024</w:t>
      </w:r>
      <w:r w:rsidR="009F5935">
        <w:t>.</w:t>
      </w:r>
      <w:r>
        <w:t xml:space="preserve"> </w:t>
      </w:r>
      <w:r w:rsidRPr="00990870">
        <w:rPr>
          <w:i/>
          <w:iCs/>
        </w:rPr>
        <w:t>Performance-Based Regulation Basic Features and Possible Applications to Virginia’s Electric Utilitie</w:t>
      </w:r>
      <w:r>
        <w:t xml:space="preserve">s, prepared for Clean Viriginia by </w:t>
      </w:r>
      <w:r w:rsidRPr="00990870">
        <w:t xml:space="preserve">Pacific Economics Group Research, LLC, </w:t>
      </w:r>
      <w:r>
        <w:t>pg.44.</w:t>
      </w:r>
    </w:p>
  </w:footnote>
  <w:footnote w:id="12">
    <w:p w14:paraId="4B2AE235" w14:textId="6C9F41D6" w:rsidR="000576FC" w:rsidRDefault="000576FC" w:rsidP="008E6EED">
      <w:pPr>
        <w:pStyle w:val="Footnote10"/>
      </w:pPr>
      <w:r>
        <w:rPr>
          <w:rStyle w:val="FootnoteReference"/>
        </w:rPr>
        <w:footnoteRef/>
      </w:r>
      <w:r>
        <w:t xml:space="preserve"> </w:t>
      </w:r>
      <w:r w:rsidRPr="000576FC">
        <w:t>AR PSC Staff, Initial Brief Pursuant to Order No. 18, Docket 16‐036‐FR, January 1, 2019</w:t>
      </w:r>
      <w:r w:rsidR="008F3AAB">
        <w:t>.</w:t>
      </w:r>
    </w:p>
  </w:footnote>
  <w:footnote w:id="13">
    <w:p w14:paraId="7BC5F17F" w14:textId="0DA320AD" w:rsidR="000576FC" w:rsidRDefault="000576FC" w:rsidP="008E6EED">
      <w:pPr>
        <w:pStyle w:val="Footnote10"/>
      </w:pPr>
      <w:r>
        <w:rPr>
          <w:rStyle w:val="FootnoteReference"/>
        </w:rPr>
        <w:footnoteRef/>
      </w:r>
      <w:r>
        <w:t xml:space="preserve"> </w:t>
      </w:r>
      <w:r w:rsidRPr="000576FC">
        <w:t>Maryland Public Service Commission, Order 89226, PC51, August 9, 2019, at 53.</w:t>
      </w:r>
      <w:r w:rsidR="00EC2266">
        <w:t xml:space="preserve"> </w:t>
      </w:r>
    </w:p>
  </w:footnote>
  <w:footnote w:id="14">
    <w:p w14:paraId="3B2B299C" w14:textId="00D176D1" w:rsidR="001724D2" w:rsidRPr="008E1ADE" w:rsidRDefault="001724D2">
      <w:pPr>
        <w:pStyle w:val="FootnoteText"/>
      </w:pPr>
      <w:r w:rsidRPr="008E1ADE">
        <w:rPr>
          <w:rStyle w:val="FootnoteReference"/>
        </w:rPr>
        <w:footnoteRef/>
      </w:r>
      <w:r w:rsidRPr="008E1ADE">
        <w:t xml:space="preserve"> </w:t>
      </w:r>
      <w:r w:rsidR="008E1ADE" w:rsidRPr="008E1ADE">
        <w:t>Oliver T., Florida Power and Light Company Direct Testimony of Tim Oliver, Docket 20250011-EL, February 28, 2025, at 20-21.</w:t>
      </w:r>
    </w:p>
  </w:footnote>
  <w:footnote w:id="15">
    <w:p w14:paraId="5445F042" w14:textId="7EC7F09F" w:rsidR="001724D2" w:rsidRPr="008E1ADE" w:rsidRDefault="001724D2">
      <w:pPr>
        <w:pStyle w:val="FootnoteText"/>
      </w:pPr>
      <w:r w:rsidRPr="008E1ADE">
        <w:rPr>
          <w:rStyle w:val="FootnoteReference"/>
        </w:rPr>
        <w:footnoteRef/>
      </w:r>
      <w:r w:rsidRPr="008E1ADE">
        <w:t xml:space="preserve"> </w:t>
      </w:r>
      <w:r w:rsidR="008E1ADE" w:rsidRPr="008E1ADE">
        <w:t>Reynolds J., Decision on Test Year 2023 General Rate Case for Pacific Gas and Electric Company, Application 21-06-021, November 16, 2023, at 707-709 and 713-715.</w:t>
      </w:r>
    </w:p>
  </w:footnote>
  <w:footnote w:id="16">
    <w:p w14:paraId="2C4C9B15" w14:textId="57671144" w:rsidR="001724D2" w:rsidRDefault="001724D2">
      <w:pPr>
        <w:pStyle w:val="FootnoteText"/>
      </w:pPr>
      <w:r w:rsidRPr="008E1ADE">
        <w:rPr>
          <w:rStyle w:val="FootnoteReference"/>
        </w:rPr>
        <w:footnoteRef/>
      </w:r>
      <w:r w:rsidRPr="008E1ADE">
        <w:t xml:space="preserve"> </w:t>
      </w:r>
      <w:r w:rsidR="00E92C11" w:rsidRPr="00E92C11">
        <w:t>Taylor, K., Direct Testimony of Kathryn S. Taylor for Duke Energy Progress, LLC, Docket No. E-2, Sub 1300, October 6, 2022, Exhibit 1, at 5-11.</w:t>
      </w:r>
    </w:p>
  </w:footnote>
  <w:footnote w:id="17">
    <w:p w14:paraId="27172BFE" w14:textId="60AEE966" w:rsidR="007C702F" w:rsidRDefault="007C702F" w:rsidP="008E6EED">
      <w:pPr>
        <w:pStyle w:val="Footnote10"/>
      </w:pPr>
      <w:r w:rsidRPr="00F20E17">
        <w:rPr>
          <w:rStyle w:val="FootnoteReference"/>
        </w:rPr>
        <w:footnoteRef/>
      </w:r>
      <w:r>
        <w:t xml:space="preserve"> </w:t>
      </w:r>
      <w:r w:rsidR="0062184B" w:rsidRPr="0062184B">
        <w:t>Costello, K</w:t>
      </w:r>
      <w:r w:rsidR="004F1FB0">
        <w:t xml:space="preserve">. </w:t>
      </w:r>
      <w:r w:rsidR="0062184B" w:rsidRPr="0062184B">
        <w:t>2016</w:t>
      </w:r>
      <w:r w:rsidR="004F1FB0">
        <w:t>.</w:t>
      </w:r>
      <w:r w:rsidR="0062184B" w:rsidRPr="0062184B">
        <w:t xml:space="preserve"> Multiyear Rate Plans and the Public Interest, National Regulatory Research Institute, pages 35–36.</w:t>
      </w:r>
      <w:r w:rsidR="00EC2266">
        <w:t xml:space="preserve"> </w:t>
      </w:r>
    </w:p>
  </w:footnote>
  <w:footnote w:id="18">
    <w:p w14:paraId="7F746B68" w14:textId="5728C635" w:rsidR="009401EA" w:rsidRDefault="009401EA" w:rsidP="008E6EED">
      <w:pPr>
        <w:pStyle w:val="Footnote10"/>
      </w:pPr>
      <w:r>
        <w:rPr>
          <w:rStyle w:val="FootnoteReference"/>
        </w:rPr>
        <w:footnoteRef/>
      </w:r>
      <w:r>
        <w:t xml:space="preserve"> </w:t>
      </w:r>
      <w:r w:rsidR="004F1FB0">
        <w:t>Economists identify t</w:t>
      </w:r>
      <w:r>
        <w:t>he Averch-Johnson effect as the tendency of regulated companies to engage in excess capital investments to increase their profits</w:t>
      </w:r>
      <w:r w:rsidR="004F1FB0">
        <w:t>, as</w:t>
      </w:r>
      <w:r>
        <w:t xml:space="preserve"> originally published in the </w:t>
      </w:r>
      <w:r w:rsidRPr="008E6EED">
        <w:rPr>
          <w:i/>
          <w:iCs/>
        </w:rPr>
        <w:t>American Economic Review</w:t>
      </w:r>
      <w:r>
        <w:t>, vol. 52, no. 5, 1962, at 1052–1069 “Behavior of the Firm Under Regulatory Constraint” by Harvey Averch and Leland L. Johnson.</w:t>
      </w:r>
    </w:p>
  </w:footnote>
  <w:footnote w:id="19">
    <w:p w14:paraId="659F9A83" w14:textId="712FE501" w:rsidR="007C702F" w:rsidRDefault="007C702F" w:rsidP="007C702F">
      <w:pPr>
        <w:pStyle w:val="Footnote10"/>
      </w:pPr>
      <w:r w:rsidRPr="00F20E17">
        <w:rPr>
          <w:rStyle w:val="FootnoteReference"/>
        </w:rPr>
        <w:footnoteRef/>
      </w:r>
      <w:r>
        <w:t xml:space="preserve"> </w:t>
      </w:r>
      <w:r w:rsidRPr="00227674">
        <w:t>Lowry</w:t>
      </w:r>
      <w:r w:rsidR="00293806">
        <w:t>, Mark N.</w:t>
      </w:r>
      <w:r w:rsidRPr="00227674">
        <w:t xml:space="preserve"> et al.</w:t>
      </w:r>
      <w:r w:rsidR="00293806">
        <w:t xml:space="preserve"> 2017. </w:t>
      </w:r>
      <w:r w:rsidRPr="00227674">
        <w:t>“State Performance-Based Regulation Using Multiyear Rate Plans for U.S. Electric Utilities</w:t>
      </w:r>
      <w:r w:rsidR="00293806">
        <w:t>.</w:t>
      </w:r>
      <w:r w:rsidRPr="00227674">
        <w:t>” Lawrence Berkeley National Laboratory</w:t>
      </w:r>
      <w:r w:rsidR="00293806">
        <w:t xml:space="preserve"> </w:t>
      </w:r>
      <w:r w:rsidRPr="00227674">
        <w:t>, 4.2, https://escholarship.org/uc/item/4r13j347.</w:t>
      </w:r>
    </w:p>
  </w:footnote>
  <w:footnote w:id="20">
    <w:p w14:paraId="018AA8C5" w14:textId="7F3BE900" w:rsidR="006E40A1" w:rsidRDefault="006E40A1" w:rsidP="008E6EED">
      <w:pPr>
        <w:pStyle w:val="Footnote10"/>
      </w:pPr>
      <w:r>
        <w:rPr>
          <w:rStyle w:val="FootnoteReference"/>
        </w:rPr>
        <w:footnoteRef/>
      </w:r>
      <w:r>
        <w:t xml:space="preserve"> </w:t>
      </w:r>
      <w:r w:rsidRPr="006E40A1">
        <w:t>Southern California Edison (U 338-E) 2018 General Rate Case Application 16-09-001 (SCE-09, Vol. 1) at 85.</w:t>
      </w:r>
    </w:p>
  </w:footnote>
  <w:footnote w:id="21">
    <w:p w14:paraId="6A69A4F5" w14:textId="2413B785" w:rsidR="003730FA" w:rsidRDefault="003730FA" w:rsidP="0047172E">
      <w:pPr>
        <w:pStyle w:val="FootnoteText"/>
      </w:pPr>
      <w:r>
        <w:rPr>
          <w:rStyle w:val="FootnoteReference"/>
        </w:rPr>
        <w:footnoteRef/>
      </w:r>
      <w:r>
        <w:t xml:space="preserve"> A reconciliation mechanism and an ESM are related but distinct mechanisms. </w:t>
      </w:r>
      <w:r w:rsidR="0047172E">
        <w:t xml:space="preserve">A downward reconciliation only applies when the utility doesn't spend its forecasted revenue requirement. An ESM only applies when revenues exceed costs. </w:t>
      </w:r>
      <w:r>
        <w:t xml:space="preserve">For example, </w:t>
      </w:r>
      <w:r w:rsidR="0047172E">
        <w:t>consider a utility without decoupling that experiences a rate year w</w:t>
      </w:r>
      <w:r>
        <w:t>here electricity load was higher than expected</w:t>
      </w:r>
      <w:r w:rsidR="0047172E">
        <w:t>. In that same rate year,</w:t>
      </w:r>
      <w:r>
        <w:t xml:space="preserve"> the </w:t>
      </w:r>
      <w:r w:rsidRPr="003730FA">
        <w:t>utility spends its entire revenue requirement</w:t>
      </w:r>
      <w:r>
        <w:t>. In this scenario, the utility recovers more revenues than allowed under the MRP revenue cap</w:t>
      </w:r>
      <w:r w:rsidR="0047172E">
        <w:t xml:space="preserve"> and earns an ROE above authorized ROE</w:t>
      </w:r>
      <w:r>
        <w:t>. Under an ESM the utility would have to return a portion of the excess earnings to customers</w:t>
      </w:r>
      <w:r w:rsidR="0047172E">
        <w:t xml:space="preserve">. However, there is no downward reconciliation because the utility spent 100% of its revenue requirement (i.e., spending cap).  </w:t>
      </w:r>
    </w:p>
  </w:footnote>
  <w:footnote w:id="22">
    <w:p w14:paraId="427A7A37" w14:textId="3A7E9B3C" w:rsidR="00527396" w:rsidRDefault="00527396" w:rsidP="00527396">
      <w:pPr>
        <w:pStyle w:val="FootnoteText"/>
      </w:pPr>
      <w:r>
        <w:rPr>
          <w:rStyle w:val="FootnoteReference"/>
        </w:rPr>
        <w:footnoteRef/>
      </w:r>
      <w:r>
        <w:t xml:space="preserve"> New York Public Service Commission, Order Adopting Terms of Joint Proposal and Establishing electric and Gas Rate Plans with Additional Requirements, Cases 22-E-0064 and 22-G-0065, July 20, 2023, at 18.</w:t>
      </w:r>
    </w:p>
  </w:footnote>
  <w:footnote w:id="23">
    <w:p w14:paraId="19DD97DC" w14:textId="77777777" w:rsidR="00C04852" w:rsidRDefault="00C04852" w:rsidP="00C04852">
      <w:pPr>
        <w:pStyle w:val="Footnote10"/>
      </w:pPr>
      <w:r w:rsidRPr="00F20E17">
        <w:rPr>
          <w:rStyle w:val="FootnoteReference"/>
        </w:rPr>
        <w:footnoteRef/>
      </w:r>
      <w:r>
        <w:t xml:space="preserve"> The California Public Utilities Commission (CPUC) has objected to such claw-back mechanisms precisely because it erodes the utility’s incentive to be efficient. The CPUC explains:</w:t>
      </w:r>
    </w:p>
    <w:p w14:paraId="65179E4C" w14:textId="77777777" w:rsidR="00C04852" w:rsidRDefault="00C04852" w:rsidP="008E6EED">
      <w:pPr>
        <w:pStyle w:val="Footnote10"/>
        <w:ind w:firstLine="0"/>
      </w:pPr>
      <w:r>
        <w:t>“…</w:t>
      </w:r>
      <w:r w:rsidRPr="00571611">
        <w:t xml:space="preserve">we are extending to utility management an opportunity and incentive to find ways to conduct operations for less than projected. When it can do </w:t>
      </w:r>
      <w:proofErr w:type="gramStart"/>
      <w:r w:rsidRPr="00571611">
        <w:t>this</w:t>
      </w:r>
      <w:proofErr w:type="gramEnd"/>
      <w:r w:rsidRPr="00571611">
        <w:t xml:space="preserve"> it flows the benefit to the utility's bottom line, which means profit. In the short term, between general rate proceedings, the shareholders benefit when the company's management can 'do it for less,' and correspondingly, ratepayers ultimately benefit because the productivity improvement will be reflected periodically when there is a comprehensive review of the utility's revenue requirement. Keeping this incentive for utility management is a cornerstone of ratemaking, which leads us to look askance at proposals for immediate 'give backs' of all cost savings to ratepayers. If ratemaking ever becomes so conceptually upside down that utility management loses the economic incentive to exercise its business acumen, California will be in a sad posture and will suffer under utility management which is lethargic with a 'cost plus' mentality</w:t>
      </w:r>
      <w:r>
        <w:t xml:space="preserve">.” </w:t>
      </w:r>
    </w:p>
    <w:p w14:paraId="5620BF78" w14:textId="77777777" w:rsidR="00C04852" w:rsidRPr="00B60250" w:rsidRDefault="00C04852" w:rsidP="008E6EED">
      <w:pPr>
        <w:pStyle w:val="Footnote10"/>
        <w:ind w:firstLine="0"/>
      </w:pPr>
      <w:r>
        <w:rPr>
          <w:i/>
          <w:iCs/>
        </w:rPr>
        <w:t xml:space="preserve">See: </w:t>
      </w:r>
      <w:r>
        <w:t xml:space="preserve">California Public Utilities Commission, </w:t>
      </w:r>
      <w:r w:rsidRPr="00E00282">
        <w:t>D.85-03-042, 17 CPUC2d 246, at 254</w:t>
      </w:r>
      <w:r>
        <w:t>, as cited in D.19-05-020, Decision on Test Year 2018 General Rate Case for Southern California Edison Company, May 24, 2019, at 152.</w:t>
      </w:r>
    </w:p>
  </w:footnote>
  <w:footnote w:id="24">
    <w:p w14:paraId="7228FAC0" w14:textId="77777777" w:rsidR="004A166D" w:rsidRDefault="004A166D" w:rsidP="004A166D">
      <w:pPr>
        <w:pStyle w:val="Footnote10"/>
      </w:pPr>
      <w:r>
        <w:rPr>
          <w:rStyle w:val="FootnoteReference"/>
        </w:rPr>
        <w:footnoteRef/>
      </w:r>
      <w:r>
        <w:t xml:space="preserve"> </w:t>
      </w:r>
      <w:r w:rsidRPr="00E3748E">
        <w:t>Massachusetts Department of Public Utilities</w:t>
      </w:r>
      <w:r>
        <w:t xml:space="preserve"> Docket No. 23-150.</w:t>
      </w:r>
    </w:p>
  </w:footnote>
  <w:footnote w:id="25">
    <w:p w14:paraId="2928885E" w14:textId="77777777" w:rsidR="004A166D" w:rsidRDefault="004A166D" w:rsidP="004A166D">
      <w:pPr>
        <w:pStyle w:val="Footnote10"/>
      </w:pPr>
      <w:r>
        <w:rPr>
          <w:rStyle w:val="FootnoteReference"/>
        </w:rPr>
        <w:footnoteRef/>
      </w:r>
      <w:r>
        <w:t xml:space="preserve"> Hawaii Public Utilities Commission, Docket No. 2018-0088.</w:t>
      </w:r>
    </w:p>
  </w:footnote>
  <w:footnote w:id="26">
    <w:p w14:paraId="1E9849F0" w14:textId="27F4F925" w:rsidR="00B64753" w:rsidRDefault="00B64753">
      <w:pPr>
        <w:pStyle w:val="FootnoteText"/>
      </w:pPr>
      <w:r>
        <w:rPr>
          <w:rStyle w:val="FootnoteReference"/>
        </w:rPr>
        <w:footnoteRef/>
      </w:r>
      <w:r>
        <w:t xml:space="preserve"> New York Public Service Commission, Order Adopting Terms of Joint Proposal and Establishing electric and Gas Rate Plans with Additional Requirements, Cases 22-E-0064 and 22-G-0065, July 20, 2023, at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3E25" w14:textId="4841C6FF" w:rsidR="00A07D24" w:rsidRDefault="00A07D24" w:rsidP="005430F6"/>
  <w:p w14:paraId="09E2E404" w14:textId="77777777" w:rsidR="004366A1" w:rsidRDefault="004366A1" w:rsidP="005430F6"/>
  <w:p w14:paraId="6052275F" w14:textId="77777777" w:rsidR="00AC519B" w:rsidRDefault="00AC519B" w:rsidP="00543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B056" w14:textId="1E7C1136" w:rsidR="009649DF" w:rsidRDefault="00964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5714" w14:textId="2C5B5E6A" w:rsidR="00445F8E" w:rsidRDefault="00445F8E" w:rsidP="00445F8E">
    <w:pPr>
      <w:pStyle w:val="Header"/>
      <w:tabs>
        <w:tab w:val="clear" w:pos="9360"/>
      </w:tabs>
      <w:ind w:right="-360"/>
    </w:pPr>
    <w:r>
      <w:rPr>
        <w:noProof/>
      </w:rPr>
      <mc:AlternateContent>
        <mc:Choice Requires="wps">
          <w:drawing>
            <wp:anchor distT="0" distB="0" distL="114300" distR="114300" simplePos="0" relativeHeight="251659264" behindDoc="0" locked="0" layoutInCell="1" allowOverlap="1" wp14:anchorId="75083F26" wp14:editId="65FD8B7A">
              <wp:simplePos x="0" y="0"/>
              <wp:positionH relativeFrom="column">
                <wp:posOffset>-228600</wp:posOffset>
              </wp:positionH>
              <wp:positionV relativeFrom="paragraph">
                <wp:posOffset>476885</wp:posOffset>
              </wp:positionV>
              <wp:extent cx="64236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23660"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fl="http://schemas.microsoft.com/office/word/2024/wordml/sdtformatlock">
          <w:pict>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f8ab48 [3206]" strokeweight="2pt" from="-18pt,37.55pt" to="487.8pt,37.55pt" w14:anchorId="3C4A79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E840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487B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C665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A0A6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48D5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8FA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96B8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0264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1223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4A7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86971"/>
    <w:multiLevelType w:val="hybridMultilevel"/>
    <w:tmpl w:val="61DCCF94"/>
    <w:lvl w:ilvl="0" w:tplc="43846BEC">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93578F"/>
    <w:multiLevelType w:val="hybridMultilevel"/>
    <w:tmpl w:val="82E87342"/>
    <w:lvl w:ilvl="0" w:tplc="164CCFBC">
      <w:start w:val="1"/>
      <w:numFmt w:val="bullet"/>
      <w:lvlText w:val="o"/>
      <w:lvlJc w:val="left"/>
      <w:pPr>
        <w:tabs>
          <w:tab w:val="num" w:pos="720"/>
        </w:tabs>
        <w:ind w:left="720" w:hanging="360"/>
      </w:pPr>
      <w:rPr>
        <w:rFonts w:ascii="Courier New" w:hAnsi="Courier New" w:hint="default"/>
      </w:rPr>
    </w:lvl>
    <w:lvl w:ilvl="1" w:tplc="EB8031F4" w:tentative="1">
      <w:start w:val="1"/>
      <w:numFmt w:val="bullet"/>
      <w:lvlText w:val="o"/>
      <w:lvlJc w:val="left"/>
      <w:pPr>
        <w:tabs>
          <w:tab w:val="num" w:pos="1440"/>
        </w:tabs>
        <w:ind w:left="1440" w:hanging="360"/>
      </w:pPr>
      <w:rPr>
        <w:rFonts w:ascii="Courier New" w:hAnsi="Courier New" w:hint="default"/>
      </w:rPr>
    </w:lvl>
    <w:lvl w:ilvl="2" w:tplc="DB8C0804" w:tentative="1">
      <w:start w:val="1"/>
      <w:numFmt w:val="bullet"/>
      <w:lvlText w:val="o"/>
      <w:lvlJc w:val="left"/>
      <w:pPr>
        <w:tabs>
          <w:tab w:val="num" w:pos="2160"/>
        </w:tabs>
        <w:ind w:left="2160" w:hanging="360"/>
      </w:pPr>
      <w:rPr>
        <w:rFonts w:ascii="Courier New" w:hAnsi="Courier New" w:hint="default"/>
      </w:rPr>
    </w:lvl>
    <w:lvl w:ilvl="3" w:tplc="FA3689E6" w:tentative="1">
      <w:start w:val="1"/>
      <w:numFmt w:val="bullet"/>
      <w:lvlText w:val="o"/>
      <w:lvlJc w:val="left"/>
      <w:pPr>
        <w:tabs>
          <w:tab w:val="num" w:pos="2880"/>
        </w:tabs>
        <w:ind w:left="2880" w:hanging="360"/>
      </w:pPr>
      <w:rPr>
        <w:rFonts w:ascii="Courier New" w:hAnsi="Courier New" w:hint="default"/>
      </w:rPr>
    </w:lvl>
    <w:lvl w:ilvl="4" w:tplc="C1D6D472" w:tentative="1">
      <w:start w:val="1"/>
      <w:numFmt w:val="bullet"/>
      <w:lvlText w:val="o"/>
      <w:lvlJc w:val="left"/>
      <w:pPr>
        <w:tabs>
          <w:tab w:val="num" w:pos="3600"/>
        </w:tabs>
        <w:ind w:left="3600" w:hanging="360"/>
      </w:pPr>
      <w:rPr>
        <w:rFonts w:ascii="Courier New" w:hAnsi="Courier New" w:hint="default"/>
      </w:rPr>
    </w:lvl>
    <w:lvl w:ilvl="5" w:tplc="CD4EB124" w:tentative="1">
      <w:start w:val="1"/>
      <w:numFmt w:val="bullet"/>
      <w:lvlText w:val="o"/>
      <w:lvlJc w:val="left"/>
      <w:pPr>
        <w:tabs>
          <w:tab w:val="num" w:pos="4320"/>
        </w:tabs>
        <w:ind w:left="4320" w:hanging="360"/>
      </w:pPr>
      <w:rPr>
        <w:rFonts w:ascii="Courier New" w:hAnsi="Courier New" w:hint="default"/>
      </w:rPr>
    </w:lvl>
    <w:lvl w:ilvl="6" w:tplc="23945000" w:tentative="1">
      <w:start w:val="1"/>
      <w:numFmt w:val="bullet"/>
      <w:lvlText w:val="o"/>
      <w:lvlJc w:val="left"/>
      <w:pPr>
        <w:tabs>
          <w:tab w:val="num" w:pos="5040"/>
        </w:tabs>
        <w:ind w:left="5040" w:hanging="360"/>
      </w:pPr>
      <w:rPr>
        <w:rFonts w:ascii="Courier New" w:hAnsi="Courier New" w:hint="default"/>
      </w:rPr>
    </w:lvl>
    <w:lvl w:ilvl="7" w:tplc="79E6CF08" w:tentative="1">
      <w:start w:val="1"/>
      <w:numFmt w:val="bullet"/>
      <w:lvlText w:val="o"/>
      <w:lvlJc w:val="left"/>
      <w:pPr>
        <w:tabs>
          <w:tab w:val="num" w:pos="5760"/>
        </w:tabs>
        <w:ind w:left="5760" w:hanging="360"/>
      </w:pPr>
      <w:rPr>
        <w:rFonts w:ascii="Courier New" w:hAnsi="Courier New" w:hint="default"/>
      </w:rPr>
    </w:lvl>
    <w:lvl w:ilvl="8" w:tplc="E9EA6576"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0C390C76"/>
    <w:multiLevelType w:val="hybridMultilevel"/>
    <w:tmpl w:val="8A7AEB54"/>
    <w:lvl w:ilvl="0" w:tplc="A066E3A2">
      <w:start w:val="1"/>
      <w:numFmt w:val="bullet"/>
      <w:lvlText w:val="•"/>
      <w:lvlJc w:val="left"/>
      <w:pPr>
        <w:tabs>
          <w:tab w:val="num" w:pos="720"/>
        </w:tabs>
        <w:ind w:left="720" w:hanging="360"/>
      </w:pPr>
      <w:rPr>
        <w:rFonts w:ascii="Arial" w:hAnsi="Arial" w:hint="default"/>
      </w:rPr>
    </w:lvl>
    <w:lvl w:ilvl="1" w:tplc="55562652" w:tentative="1">
      <w:start w:val="1"/>
      <w:numFmt w:val="bullet"/>
      <w:lvlText w:val="•"/>
      <w:lvlJc w:val="left"/>
      <w:pPr>
        <w:tabs>
          <w:tab w:val="num" w:pos="1440"/>
        </w:tabs>
        <w:ind w:left="1440" w:hanging="360"/>
      </w:pPr>
      <w:rPr>
        <w:rFonts w:ascii="Arial" w:hAnsi="Arial" w:hint="default"/>
      </w:rPr>
    </w:lvl>
    <w:lvl w:ilvl="2" w:tplc="5E94B8A4" w:tentative="1">
      <w:start w:val="1"/>
      <w:numFmt w:val="bullet"/>
      <w:lvlText w:val="•"/>
      <w:lvlJc w:val="left"/>
      <w:pPr>
        <w:tabs>
          <w:tab w:val="num" w:pos="2160"/>
        </w:tabs>
        <w:ind w:left="2160" w:hanging="360"/>
      </w:pPr>
      <w:rPr>
        <w:rFonts w:ascii="Arial" w:hAnsi="Arial" w:hint="default"/>
      </w:rPr>
    </w:lvl>
    <w:lvl w:ilvl="3" w:tplc="11A8A7E8" w:tentative="1">
      <w:start w:val="1"/>
      <w:numFmt w:val="bullet"/>
      <w:lvlText w:val="•"/>
      <w:lvlJc w:val="left"/>
      <w:pPr>
        <w:tabs>
          <w:tab w:val="num" w:pos="2880"/>
        </w:tabs>
        <w:ind w:left="2880" w:hanging="360"/>
      </w:pPr>
      <w:rPr>
        <w:rFonts w:ascii="Arial" w:hAnsi="Arial" w:hint="default"/>
      </w:rPr>
    </w:lvl>
    <w:lvl w:ilvl="4" w:tplc="DFD811DA" w:tentative="1">
      <w:start w:val="1"/>
      <w:numFmt w:val="bullet"/>
      <w:lvlText w:val="•"/>
      <w:lvlJc w:val="left"/>
      <w:pPr>
        <w:tabs>
          <w:tab w:val="num" w:pos="3600"/>
        </w:tabs>
        <w:ind w:left="3600" w:hanging="360"/>
      </w:pPr>
      <w:rPr>
        <w:rFonts w:ascii="Arial" w:hAnsi="Arial" w:hint="default"/>
      </w:rPr>
    </w:lvl>
    <w:lvl w:ilvl="5" w:tplc="2A3A7284" w:tentative="1">
      <w:start w:val="1"/>
      <w:numFmt w:val="bullet"/>
      <w:lvlText w:val="•"/>
      <w:lvlJc w:val="left"/>
      <w:pPr>
        <w:tabs>
          <w:tab w:val="num" w:pos="4320"/>
        </w:tabs>
        <w:ind w:left="4320" w:hanging="360"/>
      </w:pPr>
      <w:rPr>
        <w:rFonts w:ascii="Arial" w:hAnsi="Arial" w:hint="default"/>
      </w:rPr>
    </w:lvl>
    <w:lvl w:ilvl="6" w:tplc="CA38538E" w:tentative="1">
      <w:start w:val="1"/>
      <w:numFmt w:val="bullet"/>
      <w:lvlText w:val="•"/>
      <w:lvlJc w:val="left"/>
      <w:pPr>
        <w:tabs>
          <w:tab w:val="num" w:pos="5040"/>
        </w:tabs>
        <w:ind w:left="5040" w:hanging="360"/>
      </w:pPr>
      <w:rPr>
        <w:rFonts w:ascii="Arial" w:hAnsi="Arial" w:hint="default"/>
      </w:rPr>
    </w:lvl>
    <w:lvl w:ilvl="7" w:tplc="F3186C38" w:tentative="1">
      <w:start w:val="1"/>
      <w:numFmt w:val="bullet"/>
      <w:lvlText w:val="•"/>
      <w:lvlJc w:val="left"/>
      <w:pPr>
        <w:tabs>
          <w:tab w:val="num" w:pos="5760"/>
        </w:tabs>
        <w:ind w:left="5760" w:hanging="360"/>
      </w:pPr>
      <w:rPr>
        <w:rFonts w:ascii="Arial" w:hAnsi="Arial" w:hint="default"/>
      </w:rPr>
    </w:lvl>
    <w:lvl w:ilvl="8" w:tplc="1624AE1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1C8595D"/>
    <w:multiLevelType w:val="hybridMultilevel"/>
    <w:tmpl w:val="0C0CA472"/>
    <w:lvl w:ilvl="0" w:tplc="1F708B58">
      <w:start w:val="1"/>
      <w:numFmt w:val="bullet"/>
      <w:lvlText w:val="•"/>
      <w:lvlJc w:val="left"/>
      <w:pPr>
        <w:tabs>
          <w:tab w:val="num" w:pos="720"/>
        </w:tabs>
        <w:ind w:left="720" w:hanging="360"/>
      </w:pPr>
      <w:rPr>
        <w:rFonts w:ascii="Arial" w:hAnsi="Arial" w:hint="default"/>
      </w:rPr>
    </w:lvl>
    <w:lvl w:ilvl="1" w:tplc="1DCCA4E4" w:tentative="1">
      <w:start w:val="1"/>
      <w:numFmt w:val="bullet"/>
      <w:lvlText w:val="•"/>
      <w:lvlJc w:val="left"/>
      <w:pPr>
        <w:tabs>
          <w:tab w:val="num" w:pos="1440"/>
        </w:tabs>
        <w:ind w:left="1440" w:hanging="360"/>
      </w:pPr>
      <w:rPr>
        <w:rFonts w:ascii="Arial" w:hAnsi="Arial" w:hint="default"/>
      </w:rPr>
    </w:lvl>
    <w:lvl w:ilvl="2" w:tplc="3A3C7924" w:tentative="1">
      <w:start w:val="1"/>
      <w:numFmt w:val="bullet"/>
      <w:lvlText w:val="•"/>
      <w:lvlJc w:val="left"/>
      <w:pPr>
        <w:tabs>
          <w:tab w:val="num" w:pos="2160"/>
        </w:tabs>
        <w:ind w:left="2160" w:hanging="360"/>
      </w:pPr>
      <w:rPr>
        <w:rFonts w:ascii="Arial" w:hAnsi="Arial" w:hint="default"/>
      </w:rPr>
    </w:lvl>
    <w:lvl w:ilvl="3" w:tplc="B8E25722" w:tentative="1">
      <w:start w:val="1"/>
      <w:numFmt w:val="bullet"/>
      <w:lvlText w:val="•"/>
      <w:lvlJc w:val="left"/>
      <w:pPr>
        <w:tabs>
          <w:tab w:val="num" w:pos="2880"/>
        </w:tabs>
        <w:ind w:left="2880" w:hanging="360"/>
      </w:pPr>
      <w:rPr>
        <w:rFonts w:ascii="Arial" w:hAnsi="Arial" w:hint="default"/>
      </w:rPr>
    </w:lvl>
    <w:lvl w:ilvl="4" w:tplc="2E40B2B4" w:tentative="1">
      <w:start w:val="1"/>
      <w:numFmt w:val="bullet"/>
      <w:lvlText w:val="•"/>
      <w:lvlJc w:val="left"/>
      <w:pPr>
        <w:tabs>
          <w:tab w:val="num" w:pos="3600"/>
        </w:tabs>
        <w:ind w:left="3600" w:hanging="360"/>
      </w:pPr>
      <w:rPr>
        <w:rFonts w:ascii="Arial" w:hAnsi="Arial" w:hint="default"/>
      </w:rPr>
    </w:lvl>
    <w:lvl w:ilvl="5" w:tplc="3DD22BA4" w:tentative="1">
      <w:start w:val="1"/>
      <w:numFmt w:val="bullet"/>
      <w:lvlText w:val="•"/>
      <w:lvlJc w:val="left"/>
      <w:pPr>
        <w:tabs>
          <w:tab w:val="num" w:pos="4320"/>
        </w:tabs>
        <w:ind w:left="4320" w:hanging="360"/>
      </w:pPr>
      <w:rPr>
        <w:rFonts w:ascii="Arial" w:hAnsi="Arial" w:hint="default"/>
      </w:rPr>
    </w:lvl>
    <w:lvl w:ilvl="6" w:tplc="BDE221E6" w:tentative="1">
      <w:start w:val="1"/>
      <w:numFmt w:val="bullet"/>
      <w:lvlText w:val="•"/>
      <w:lvlJc w:val="left"/>
      <w:pPr>
        <w:tabs>
          <w:tab w:val="num" w:pos="5040"/>
        </w:tabs>
        <w:ind w:left="5040" w:hanging="360"/>
      </w:pPr>
      <w:rPr>
        <w:rFonts w:ascii="Arial" w:hAnsi="Arial" w:hint="default"/>
      </w:rPr>
    </w:lvl>
    <w:lvl w:ilvl="7" w:tplc="F8BA7A9C" w:tentative="1">
      <w:start w:val="1"/>
      <w:numFmt w:val="bullet"/>
      <w:lvlText w:val="•"/>
      <w:lvlJc w:val="left"/>
      <w:pPr>
        <w:tabs>
          <w:tab w:val="num" w:pos="5760"/>
        </w:tabs>
        <w:ind w:left="5760" w:hanging="360"/>
      </w:pPr>
      <w:rPr>
        <w:rFonts w:ascii="Arial" w:hAnsi="Arial" w:hint="default"/>
      </w:rPr>
    </w:lvl>
    <w:lvl w:ilvl="8" w:tplc="3FEA41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482CB7"/>
    <w:multiLevelType w:val="hybridMultilevel"/>
    <w:tmpl w:val="0D62A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26DE3"/>
    <w:multiLevelType w:val="hybridMultilevel"/>
    <w:tmpl w:val="C2608692"/>
    <w:lvl w:ilvl="0" w:tplc="34585FE6">
      <w:start w:val="1"/>
      <w:numFmt w:val="bullet"/>
      <w:lvlText w:val="•"/>
      <w:lvlJc w:val="left"/>
      <w:pPr>
        <w:tabs>
          <w:tab w:val="num" w:pos="720"/>
        </w:tabs>
        <w:ind w:left="720" w:hanging="360"/>
      </w:pPr>
      <w:rPr>
        <w:rFonts w:ascii="Arial" w:hAnsi="Arial" w:hint="default"/>
      </w:rPr>
    </w:lvl>
    <w:lvl w:ilvl="1" w:tplc="77F4679E" w:tentative="1">
      <w:start w:val="1"/>
      <w:numFmt w:val="bullet"/>
      <w:lvlText w:val="•"/>
      <w:lvlJc w:val="left"/>
      <w:pPr>
        <w:tabs>
          <w:tab w:val="num" w:pos="1440"/>
        </w:tabs>
        <w:ind w:left="1440" w:hanging="360"/>
      </w:pPr>
      <w:rPr>
        <w:rFonts w:ascii="Arial" w:hAnsi="Arial" w:hint="default"/>
      </w:rPr>
    </w:lvl>
    <w:lvl w:ilvl="2" w:tplc="AF607536" w:tentative="1">
      <w:start w:val="1"/>
      <w:numFmt w:val="bullet"/>
      <w:lvlText w:val="•"/>
      <w:lvlJc w:val="left"/>
      <w:pPr>
        <w:tabs>
          <w:tab w:val="num" w:pos="2160"/>
        </w:tabs>
        <w:ind w:left="2160" w:hanging="360"/>
      </w:pPr>
      <w:rPr>
        <w:rFonts w:ascii="Arial" w:hAnsi="Arial" w:hint="default"/>
      </w:rPr>
    </w:lvl>
    <w:lvl w:ilvl="3" w:tplc="08248A28" w:tentative="1">
      <w:start w:val="1"/>
      <w:numFmt w:val="bullet"/>
      <w:lvlText w:val="•"/>
      <w:lvlJc w:val="left"/>
      <w:pPr>
        <w:tabs>
          <w:tab w:val="num" w:pos="2880"/>
        </w:tabs>
        <w:ind w:left="2880" w:hanging="360"/>
      </w:pPr>
      <w:rPr>
        <w:rFonts w:ascii="Arial" w:hAnsi="Arial" w:hint="default"/>
      </w:rPr>
    </w:lvl>
    <w:lvl w:ilvl="4" w:tplc="B7B2B356" w:tentative="1">
      <w:start w:val="1"/>
      <w:numFmt w:val="bullet"/>
      <w:lvlText w:val="•"/>
      <w:lvlJc w:val="left"/>
      <w:pPr>
        <w:tabs>
          <w:tab w:val="num" w:pos="3600"/>
        </w:tabs>
        <w:ind w:left="3600" w:hanging="360"/>
      </w:pPr>
      <w:rPr>
        <w:rFonts w:ascii="Arial" w:hAnsi="Arial" w:hint="default"/>
      </w:rPr>
    </w:lvl>
    <w:lvl w:ilvl="5" w:tplc="970639BE" w:tentative="1">
      <w:start w:val="1"/>
      <w:numFmt w:val="bullet"/>
      <w:lvlText w:val="•"/>
      <w:lvlJc w:val="left"/>
      <w:pPr>
        <w:tabs>
          <w:tab w:val="num" w:pos="4320"/>
        </w:tabs>
        <w:ind w:left="4320" w:hanging="360"/>
      </w:pPr>
      <w:rPr>
        <w:rFonts w:ascii="Arial" w:hAnsi="Arial" w:hint="default"/>
      </w:rPr>
    </w:lvl>
    <w:lvl w:ilvl="6" w:tplc="A9000FCE" w:tentative="1">
      <w:start w:val="1"/>
      <w:numFmt w:val="bullet"/>
      <w:lvlText w:val="•"/>
      <w:lvlJc w:val="left"/>
      <w:pPr>
        <w:tabs>
          <w:tab w:val="num" w:pos="5040"/>
        </w:tabs>
        <w:ind w:left="5040" w:hanging="360"/>
      </w:pPr>
      <w:rPr>
        <w:rFonts w:ascii="Arial" w:hAnsi="Arial" w:hint="default"/>
      </w:rPr>
    </w:lvl>
    <w:lvl w:ilvl="7" w:tplc="C088D7BE" w:tentative="1">
      <w:start w:val="1"/>
      <w:numFmt w:val="bullet"/>
      <w:lvlText w:val="•"/>
      <w:lvlJc w:val="left"/>
      <w:pPr>
        <w:tabs>
          <w:tab w:val="num" w:pos="5760"/>
        </w:tabs>
        <w:ind w:left="5760" w:hanging="360"/>
      </w:pPr>
      <w:rPr>
        <w:rFonts w:ascii="Arial" w:hAnsi="Arial" w:hint="default"/>
      </w:rPr>
    </w:lvl>
    <w:lvl w:ilvl="8" w:tplc="3CAAA5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E104B5"/>
    <w:multiLevelType w:val="hybridMultilevel"/>
    <w:tmpl w:val="596AB80A"/>
    <w:lvl w:ilvl="0" w:tplc="0BBEC8BC">
      <w:start w:val="1"/>
      <w:numFmt w:val="bullet"/>
      <w:pStyle w:val="BulletList3"/>
      <w:lvlText w:val=""/>
      <w:lvlJc w:val="left"/>
      <w:pPr>
        <w:ind w:left="216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19FC1F79"/>
    <w:multiLevelType w:val="hybridMultilevel"/>
    <w:tmpl w:val="3568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80CF2"/>
    <w:multiLevelType w:val="hybridMultilevel"/>
    <w:tmpl w:val="939A18CE"/>
    <w:lvl w:ilvl="0" w:tplc="0286451C">
      <w:start w:val="1"/>
      <w:numFmt w:val="bullet"/>
      <w:lvlText w:val="•"/>
      <w:lvlJc w:val="left"/>
      <w:pPr>
        <w:tabs>
          <w:tab w:val="num" w:pos="720"/>
        </w:tabs>
        <w:ind w:left="720" w:hanging="360"/>
      </w:pPr>
      <w:rPr>
        <w:rFonts w:ascii="Arial" w:hAnsi="Arial" w:hint="default"/>
      </w:rPr>
    </w:lvl>
    <w:lvl w:ilvl="1" w:tplc="CAE2C740">
      <w:numFmt w:val="bullet"/>
      <w:lvlText w:val="o"/>
      <w:lvlJc w:val="left"/>
      <w:pPr>
        <w:tabs>
          <w:tab w:val="num" w:pos="1440"/>
        </w:tabs>
        <w:ind w:left="1440" w:hanging="360"/>
      </w:pPr>
      <w:rPr>
        <w:rFonts w:ascii="Courier New" w:hAnsi="Courier New" w:hint="default"/>
      </w:rPr>
    </w:lvl>
    <w:lvl w:ilvl="2" w:tplc="7EF4DABC" w:tentative="1">
      <w:start w:val="1"/>
      <w:numFmt w:val="bullet"/>
      <w:lvlText w:val="•"/>
      <w:lvlJc w:val="left"/>
      <w:pPr>
        <w:tabs>
          <w:tab w:val="num" w:pos="2160"/>
        </w:tabs>
        <w:ind w:left="2160" w:hanging="360"/>
      </w:pPr>
      <w:rPr>
        <w:rFonts w:ascii="Arial" w:hAnsi="Arial" w:hint="default"/>
      </w:rPr>
    </w:lvl>
    <w:lvl w:ilvl="3" w:tplc="E01ACBFC" w:tentative="1">
      <w:start w:val="1"/>
      <w:numFmt w:val="bullet"/>
      <w:lvlText w:val="•"/>
      <w:lvlJc w:val="left"/>
      <w:pPr>
        <w:tabs>
          <w:tab w:val="num" w:pos="2880"/>
        </w:tabs>
        <w:ind w:left="2880" w:hanging="360"/>
      </w:pPr>
      <w:rPr>
        <w:rFonts w:ascii="Arial" w:hAnsi="Arial" w:hint="default"/>
      </w:rPr>
    </w:lvl>
    <w:lvl w:ilvl="4" w:tplc="1B202148" w:tentative="1">
      <w:start w:val="1"/>
      <w:numFmt w:val="bullet"/>
      <w:lvlText w:val="•"/>
      <w:lvlJc w:val="left"/>
      <w:pPr>
        <w:tabs>
          <w:tab w:val="num" w:pos="3600"/>
        </w:tabs>
        <w:ind w:left="3600" w:hanging="360"/>
      </w:pPr>
      <w:rPr>
        <w:rFonts w:ascii="Arial" w:hAnsi="Arial" w:hint="default"/>
      </w:rPr>
    </w:lvl>
    <w:lvl w:ilvl="5" w:tplc="2D928FD8" w:tentative="1">
      <w:start w:val="1"/>
      <w:numFmt w:val="bullet"/>
      <w:lvlText w:val="•"/>
      <w:lvlJc w:val="left"/>
      <w:pPr>
        <w:tabs>
          <w:tab w:val="num" w:pos="4320"/>
        </w:tabs>
        <w:ind w:left="4320" w:hanging="360"/>
      </w:pPr>
      <w:rPr>
        <w:rFonts w:ascii="Arial" w:hAnsi="Arial" w:hint="default"/>
      </w:rPr>
    </w:lvl>
    <w:lvl w:ilvl="6" w:tplc="DB8AC0B4" w:tentative="1">
      <w:start w:val="1"/>
      <w:numFmt w:val="bullet"/>
      <w:lvlText w:val="•"/>
      <w:lvlJc w:val="left"/>
      <w:pPr>
        <w:tabs>
          <w:tab w:val="num" w:pos="5040"/>
        </w:tabs>
        <w:ind w:left="5040" w:hanging="360"/>
      </w:pPr>
      <w:rPr>
        <w:rFonts w:ascii="Arial" w:hAnsi="Arial" w:hint="default"/>
      </w:rPr>
    </w:lvl>
    <w:lvl w:ilvl="7" w:tplc="58C84578" w:tentative="1">
      <w:start w:val="1"/>
      <w:numFmt w:val="bullet"/>
      <w:lvlText w:val="•"/>
      <w:lvlJc w:val="left"/>
      <w:pPr>
        <w:tabs>
          <w:tab w:val="num" w:pos="5760"/>
        </w:tabs>
        <w:ind w:left="5760" w:hanging="360"/>
      </w:pPr>
      <w:rPr>
        <w:rFonts w:ascii="Arial" w:hAnsi="Arial" w:hint="default"/>
      </w:rPr>
    </w:lvl>
    <w:lvl w:ilvl="8" w:tplc="771863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E9C0771"/>
    <w:multiLevelType w:val="hybridMultilevel"/>
    <w:tmpl w:val="34065AE4"/>
    <w:lvl w:ilvl="0" w:tplc="42C05166">
      <w:start w:val="1"/>
      <w:numFmt w:val="bullet"/>
      <w:lvlText w:val="•"/>
      <w:lvlJc w:val="left"/>
      <w:pPr>
        <w:tabs>
          <w:tab w:val="num" w:pos="720"/>
        </w:tabs>
        <w:ind w:left="720" w:hanging="360"/>
      </w:pPr>
      <w:rPr>
        <w:rFonts w:ascii="Arial" w:hAnsi="Arial" w:hint="default"/>
      </w:rPr>
    </w:lvl>
    <w:lvl w:ilvl="1" w:tplc="41641ACA" w:tentative="1">
      <w:start w:val="1"/>
      <w:numFmt w:val="bullet"/>
      <w:lvlText w:val="•"/>
      <w:lvlJc w:val="left"/>
      <w:pPr>
        <w:tabs>
          <w:tab w:val="num" w:pos="1440"/>
        </w:tabs>
        <w:ind w:left="1440" w:hanging="360"/>
      </w:pPr>
      <w:rPr>
        <w:rFonts w:ascii="Arial" w:hAnsi="Arial" w:hint="default"/>
      </w:rPr>
    </w:lvl>
    <w:lvl w:ilvl="2" w:tplc="0EC26B1E" w:tentative="1">
      <w:start w:val="1"/>
      <w:numFmt w:val="bullet"/>
      <w:lvlText w:val="•"/>
      <w:lvlJc w:val="left"/>
      <w:pPr>
        <w:tabs>
          <w:tab w:val="num" w:pos="2160"/>
        </w:tabs>
        <w:ind w:left="2160" w:hanging="360"/>
      </w:pPr>
      <w:rPr>
        <w:rFonts w:ascii="Arial" w:hAnsi="Arial" w:hint="default"/>
      </w:rPr>
    </w:lvl>
    <w:lvl w:ilvl="3" w:tplc="EF6A51F0" w:tentative="1">
      <w:start w:val="1"/>
      <w:numFmt w:val="bullet"/>
      <w:lvlText w:val="•"/>
      <w:lvlJc w:val="left"/>
      <w:pPr>
        <w:tabs>
          <w:tab w:val="num" w:pos="2880"/>
        </w:tabs>
        <w:ind w:left="2880" w:hanging="360"/>
      </w:pPr>
      <w:rPr>
        <w:rFonts w:ascii="Arial" w:hAnsi="Arial" w:hint="default"/>
      </w:rPr>
    </w:lvl>
    <w:lvl w:ilvl="4" w:tplc="EBF6E0DE" w:tentative="1">
      <w:start w:val="1"/>
      <w:numFmt w:val="bullet"/>
      <w:lvlText w:val="•"/>
      <w:lvlJc w:val="left"/>
      <w:pPr>
        <w:tabs>
          <w:tab w:val="num" w:pos="3600"/>
        </w:tabs>
        <w:ind w:left="3600" w:hanging="360"/>
      </w:pPr>
      <w:rPr>
        <w:rFonts w:ascii="Arial" w:hAnsi="Arial" w:hint="default"/>
      </w:rPr>
    </w:lvl>
    <w:lvl w:ilvl="5" w:tplc="66B2547C" w:tentative="1">
      <w:start w:val="1"/>
      <w:numFmt w:val="bullet"/>
      <w:lvlText w:val="•"/>
      <w:lvlJc w:val="left"/>
      <w:pPr>
        <w:tabs>
          <w:tab w:val="num" w:pos="4320"/>
        </w:tabs>
        <w:ind w:left="4320" w:hanging="360"/>
      </w:pPr>
      <w:rPr>
        <w:rFonts w:ascii="Arial" w:hAnsi="Arial" w:hint="default"/>
      </w:rPr>
    </w:lvl>
    <w:lvl w:ilvl="6" w:tplc="7E621AA2" w:tentative="1">
      <w:start w:val="1"/>
      <w:numFmt w:val="bullet"/>
      <w:lvlText w:val="•"/>
      <w:lvlJc w:val="left"/>
      <w:pPr>
        <w:tabs>
          <w:tab w:val="num" w:pos="5040"/>
        </w:tabs>
        <w:ind w:left="5040" w:hanging="360"/>
      </w:pPr>
      <w:rPr>
        <w:rFonts w:ascii="Arial" w:hAnsi="Arial" w:hint="default"/>
      </w:rPr>
    </w:lvl>
    <w:lvl w:ilvl="7" w:tplc="320EC1BE" w:tentative="1">
      <w:start w:val="1"/>
      <w:numFmt w:val="bullet"/>
      <w:lvlText w:val="•"/>
      <w:lvlJc w:val="left"/>
      <w:pPr>
        <w:tabs>
          <w:tab w:val="num" w:pos="5760"/>
        </w:tabs>
        <w:ind w:left="5760" w:hanging="360"/>
      </w:pPr>
      <w:rPr>
        <w:rFonts w:ascii="Arial" w:hAnsi="Arial" w:hint="default"/>
      </w:rPr>
    </w:lvl>
    <w:lvl w:ilvl="8" w:tplc="2E76ED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C642A2"/>
    <w:multiLevelType w:val="hybridMultilevel"/>
    <w:tmpl w:val="159C7E60"/>
    <w:lvl w:ilvl="0" w:tplc="94BEC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A47FA0"/>
    <w:multiLevelType w:val="hybridMultilevel"/>
    <w:tmpl w:val="E9D4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F04DC"/>
    <w:multiLevelType w:val="hybridMultilevel"/>
    <w:tmpl w:val="590C7472"/>
    <w:lvl w:ilvl="0" w:tplc="B63C9184">
      <w:start w:val="1"/>
      <w:numFmt w:val="lowerLetter"/>
      <w:pStyle w:val="NumberedList2"/>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38844F65"/>
    <w:multiLevelType w:val="hybridMultilevel"/>
    <w:tmpl w:val="2174E048"/>
    <w:lvl w:ilvl="0" w:tplc="DB025822">
      <w:start w:val="1"/>
      <w:numFmt w:val="bullet"/>
      <w:lvlText w:val="•"/>
      <w:lvlJc w:val="left"/>
      <w:pPr>
        <w:tabs>
          <w:tab w:val="num" w:pos="720"/>
        </w:tabs>
        <w:ind w:left="720" w:hanging="360"/>
      </w:pPr>
      <w:rPr>
        <w:rFonts w:ascii="Arial" w:hAnsi="Arial" w:hint="default"/>
      </w:rPr>
    </w:lvl>
    <w:lvl w:ilvl="1" w:tplc="985EFA46" w:tentative="1">
      <w:start w:val="1"/>
      <w:numFmt w:val="bullet"/>
      <w:lvlText w:val="•"/>
      <w:lvlJc w:val="left"/>
      <w:pPr>
        <w:tabs>
          <w:tab w:val="num" w:pos="1440"/>
        </w:tabs>
        <w:ind w:left="1440" w:hanging="360"/>
      </w:pPr>
      <w:rPr>
        <w:rFonts w:ascii="Arial" w:hAnsi="Arial" w:hint="default"/>
      </w:rPr>
    </w:lvl>
    <w:lvl w:ilvl="2" w:tplc="F0B049AE" w:tentative="1">
      <w:start w:val="1"/>
      <w:numFmt w:val="bullet"/>
      <w:lvlText w:val="•"/>
      <w:lvlJc w:val="left"/>
      <w:pPr>
        <w:tabs>
          <w:tab w:val="num" w:pos="2160"/>
        </w:tabs>
        <w:ind w:left="2160" w:hanging="360"/>
      </w:pPr>
      <w:rPr>
        <w:rFonts w:ascii="Arial" w:hAnsi="Arial" w:hint="default"/>
      </w:rPr>
    </w:lvl>
    <w:lvl w:ilvl="3" w:tplc="268ACDA4" w:tentative="1">
      <w:start w:val="1"/>
      <w:numFmt w:val="bullet"/>
      <w:lvlText w:val="•"/>
      <w:lvlJc w:val="left"/>
      <w:pPr>
        <w:tabs>
          <w:tab w:val="num" w:pos="2880"/>
        </w:tabs>
        <w:ind w:left="2880" w:hanging="360"/>
      </w:pPr>
      <w:rPr>
        <w:rFonts w:ascii="Arial" w:hAnsi="Arial" w:hint="default"/>
      </w:rPr>
    </w:lvl>
    <w:lvl w:ilvl="4" w:tplc="BBFAE626" w:tentative="1">
      <w:start w:val="1"/>
      <w:numFmt w:val="bullet"/>
      <w:lvlText w:val="•"/>
      <w:lvlJc w:val="left"/>
      <w:pPr>
        <w:tabs>
          <w:tab w:val="num" w:pos="3600"/>
        </w:tabs>
        <w:ind w:left="3600" w:hanging="360"/>
      </w:pPr>
      <w:rPr>
        <w:rFonts w:ascii="Arial" w:hAnsi="Arial" w:hint="default"/>
      </w:rPr>
    </w:lvl>
    <w:lvl w:ilvl="5" w:tplc="CD560C48" w:tentative="1">
      <w:start w:val="1"/>
      <w:numFmt w:val="bullet"/>
      <w:lvlText w:val="•"/>
      <w:lvlJc w:val="left"/>
      <w:pPr>
        <w:tabs>
          <w:tab w:val="num" w:pos="4320"/>
        </w:tabs>
        <w:ind w:left="4320" w:hanging="360"/>
      </w:pPr>
      <w:rPr>
        <w:rFonts w:ascii="Arial" w:hAnsi="Arial" w:hint="default"/>
      </w:rPr>
    </w:lvl>
    <w:lvl w:ilvl="6" w:tplc="A978D360" w:tentative="1">
      <w:start w:val="1"/>
      <w:numFmt w:val="bullet"/>
      <w:lvlText w:val="•"/>
      <w:lvlJc w:val="left"/>
      <w:pPr>
        <w:tabs>
          <w:tab w:val="num" w:pos="5040"/>
        </w:tabs>
        <w:ind w:left="5040" w:hanging="360"/>
      </w:pPr>
      <w:rPr>
        <w:rFonts w:ascii="Arial" w:hAnsi="Arial" w:hint="default"/>
      </w:rPr>
    </w:lvl>
    <w:lvl w:ilvl="7" w:tplc="9536B2FA" w:tentative="1">
      <w:start w:val="1"/>
      <w:numFmt w:val="bullet"/>
      <w:lvlText w:val="•"/>
      <w:lvlJc w:val="left"/>
      <w:pPr>
        <w:tabs>
          <w:tab w:val="num" w:pos="5760"/>
        </w:tabs>
        <w:ind w:left="5760" w:hanging="360"/>
      </w:pPr>
      <w:rPr>
        <w:rFonts w:ascii="Arial" w:hAnsi="Arial" w:hint="default"/>
      </w:rPr>
    </w:lvl>
    <w:lvl w:ilvl="8" w:tplc="AACCF9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AA2FD3"/>
    <w:multiLevelType w:val="hybridMultilevel"/>
    <w:tmpl w:val="CD1C31F8"/>
    <w:lvl w:ilvl="0" w:tplc="5FDE3A88">
      <w:start w:val="1"/>
      <w:numFmt w:val="bullet"/>
      <w:lvlText w:val="•"/>
      <w:lvlJc w:val="left"/>
      <w:pPr>
        <w:tabs>
          <w:tab w:val="num" w:pos="720"/>
        </w:tabs>
        <w:ind w:left="720" w:hanging="360"/>
      </w:pPr>
      <w:rPr>
        <w:rFonts w:ascii="Arial" w:hAnsi="Arial" w:hint="default"/>
      </w:rPr>
    </w:lvl>
    <w:lvl w:ilvl="1" w:tplc="DE6EA8E6" w:tentative="1">
      <w:start w:val="1"/>
      <w:numFmt w:val="bullet"/>
      <w:lvlText w:val="•"/>
      <w:lvlJc w:val="left"/>
      <w:pPr>
        <w:tabs>
          <w:tab w:val="num" w:pos="1440"/>
        </w:tabs>
        <w:ind w:left="1440" w:hanging="360"/>
      </w:pPr>
      <w:rPr>
        <w:rFonts w:ascii="Arial" w:hAnsi="Arial" w:hint="default"/>
      </w:rPr>
    </w:lvl>
    <w:lvl w:ilvl="2" w:tplc="FADA3E04" w:tentative="1">
      <w:start w:val="1"/>
      <w:numFmt w:val="bullet"/>
      <w:lvlText w:val="•"/>
      <w:lvlJc w:val="left"/>
      <w:pPr>
        <w:tabs>
          <w:tab w:val="num" w:pos="2160"/>
        </w:tabs>
        <w:ind w:left="2160" w:hanging="360"/>
      </w:pPr>
      <w:rPr>
        <w:rFonts w:ascii="Arial" w:hAnsi="Arial" w:hint="default"/>
      </w:rPr>
    </w:lvl>
    <w:lvl w:ilvl="3" w:tplc="96E451AE" w:tentative="1">
      <w:start w:val="1"/>
      <w:numFmt w:val="bullet"/>
      <w:lvlText w:val="•"/>
      <w:lvlJc w:val="left"/>
      <w:pPr>
        <w:tabs>
          <w:tab w:val="num" w:pos="2880"/>
        </w:tabs>
        <w:ind w:left="2880" w:hanging="360"/>
      </w:pPr>
      <w:rPr>
        <w:rFonts w:ascii="Arial" w:hAnsi="Arial" w:hint="default"/>
      </w:rPr>
    </w:lvl>
    <w:lvl w:ilvl="4" w:tplc="DF2C1616" w:tentative="1">
      <w:start w:val="1"/>
      <w:numFmt w:val="bullet"/>
      <w:lvlText w:val="•"/>
      <w:lvlJc w:val="left"/>
      <w:pPr>
        <w:tabs>
          <w:tab w:val="num" w:pos="3600"/>
        </w:tabs>
        <w:ind w:left="3600" w:hanging="360"/>
      </w:pPr>
      <w:rPr>
        <w:rFonts w:ascii="Arial" w:hAnsi="Arial" w:hint="default"/>
      </w:rPr>
    </w:lvl>
    <w:lvl w:ilvl="5" w:tplc="C1B027C4" w:tentative="1">
      <w:start w:val="1"/>
      <w:numFmt w:val="bullet"/>
      <w:lvlText w:val="•"/>
      <w:lvlJc w:val="left"/>
      <w:pPr>
        <w:tabs>
          <w:tab w:val="num" w:pos="4320"/>
        </w:tabs>
        <w:ind w:left="4320" w:hanging="360"/>
      </w:pPr>
      <w:rPr>
        <w:rFonts w:ascii="Arial" w:hAnsi="Arial" w:hint="default"/>
      </w:rPr>
    </w:lvl>
    <w:lvl w:ilvl="6" w:tplc="0F581B56" w:tentative="1">
      <w:start w:val="1"/>
      <w:numFmt w:val="bullet"/>
      <w:lvlText w:val="•"/>
      <w:lvlJc w:val="left"/>
      <w:pPr>
        <w:tabs>
          <w:tab w:val="num" w:pos="5040"/>
        </w:tabs>
        <w:ind w:left="5040" w:hanging="360"/>
      </w:pPr>
      <w:rPr>
        <w:rFonts w:ascii="Arial" w:hAnsi="Arial" w:hint="default"/>
      </w:rPr>
    </w:lvl>
    <w:lvl w:ilvl="7" w:tplc="0CFA441A" w:tentative="1">
      <w:start w:val="1"/>
      <w:numFmt w:val="bullet"/>
      <w:lvlText w:val="•"/>
      <w:lvlJc w:val="left"/>
      <w:pPr>
        <w:tabs>
          <w:tab w:val="num" w:pos="5760"/>
        </w:tabs>
        <w:ind w:left="5760" w:hanging="360"/>
      </w:pPr>
      <w:rPr>
        <w:rFonts w:ascii="Arial" w:hAnsi="Arial" w:hint="default"/>
      </w:rPr>
    </w:lvl>
    <w:lvl w:ilvl="8" w:tplc="232001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424BBF"/>
    <w:multiLevelType w:val="hybridMultilevel"/>
    <w:tmpl w:val="CB60B3F2"/>
    <w:lvl w:ilvl="0" w:tplc="561245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9029D5"/>
    <w:multiLevelType w:val="multilevel"/>
    <w:tmpl w:val="9E9C3E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AB708D0"/>
    <w:multiLevelType w:val="multilevel"/>
    <w:tmpl w:val="80F8484C"/>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8" w15:restartNumberingAfterBreak="0">
    <w:nsid w:val="4C5810D2"/>
    <w:multiLevelType w:val="hybridMultilevel"/>
    <w:tmpl w:val="14F8C8B0"/>
    <w:lvl w:ilvl="0" w:tplc="C1D206CA">
      <w:start w:val="1"/>
      <w:numFmt w:val="bullet"/>
      <w:lvlText w:val="•"/>
      <w:lvlJc w:val="left"/>
      <w:pPr>
        <w:tabs>
          <w:tab w:val="num" w:pos="720"/>
        </w:tabs>
        <w:ind w:left="720" w:hanging="360"/>
      </w:pPr>
      <w:rPr>
        <w:rFonts w:ascii="Arial" w:hAnsi="Arial" w:hint="default"/>
      </w:rPr>
    </w:lvl>
    <w:lvl w:ilvl="1" w:tplc="AE4ABD76" w:tentative="1">
      <w:start w:val="1"/>
      <w:numFmt w:val="bullet"/>
      <w:lvlText w:val="•"/>
      <w:lvlJc w:val="left"/>
      <w:pPr>
        <w:tabs>
          <w:tab w:val="num" w:pos="1440"/>
        </w:tabs>
        <w:ind w:left="1440" w:hanging="360"/>
      </w:pPr>
      <w:rPr>
        <w:rFonts w:ascii="Arial" w:hAnsi="Arial" w:hint="default"/>
      </w:rPr>
    </w:lvl>
    <w:lvl w:ilvl="2" w:tplc="FC10B2DC" w:tentative="1">
      <w:start w:val="1"/>
      <w:numFmt w:val="bullet"/>
      <w:lvlText w:val="•"/>
      <w:lvlJc w:val="left"/>
      <w:pPr>
        <w:tabs>
          <w:tab w:val="num" w:pos="2160"/>
        </w:tabs>
        <w:ind w:left="2160" w:hanging="360"/>
      </w:pPr>
      <w:rPr>
        <w:rFonts w:ascii="Arial" w:hAnsi="Arial" w:hint="default"/>
      </w:rPr>
    </w:lvl>
    <w:lvl w:ilvl="3" w:tplc="2F309384" w:tentative="1">
      <w:start w:val="1"/>
      <w:numFmt w:val="bullet"/>
      <w:lvlText w:val="•"/>
      <w:lvlJc w:val="left"/>
      <w:pPr>
        <w:tabs>
          <w:tab w:val="num" w:pos="2880"/>
        </w:tabs>
        <w:ind w:left="2880" w:hanging="360"/>
      </w:pPr>
      <w:rPr>
        <w:rFonts w:ascii="Arial" w:hAnsi="Arial" w:hint="default"/>
      </w:rPr>
    </w:lvl>
    <w:lvl w:ilvl="4" w:tplc="BB10EE54" w:tentative="1">
      <w:start w:val="1"/>
      <w:numFmt w:val="bullet"/>
      <w:lvlText w:val="•"/>
      <w:lvlJc w:val="left"/>
      <w:pPr>
        <w:tabs>
          <w:tab w:val="num" w:pos="3600"/>
        </w:tabs>
        <w:ind w:left="3600" w:hanging="360"/>
      </w:pPr>
      <w:rPr>
        <w:rFonts w:ascii="Arial" w:hAnsi="Arial" w:hint="default"/>
      </w:rPr>
    </w:lvl>
    <w:lvl w:ilvl="5" w:tplc="C0BC6466" w:tentative="1">
      <w:start w:val="1"/>
      <w:numFmt w:val="bullet"/>
      <w:lvlText w:val="•"/>
      <w:lvlJc w:val="left"/>
      <w:pPr>
        <w:tabs>
          <w:tab w:val="num" w:pos="4320"/>
        </w:tabs>
        <w:ind w:left="4320" w:hanging="360"/>
      </w:pPr>
      <w:rPr>
        <w:rFonts w:ascii="Arial" w:hAnsi="Arial" w:hint="default"/>
      </w:rPr>
    </w:lvl>
    <w:lvl w:ilvl="6" w:tplc="17209FE0" w:tentative="1">
      <w:start w:val="1"/>
      <w:numFmt w:val="bullet"/>
      <w:lvlText w:val="•"/>
      <w:lvlJc w:val="left"/>
      <w:pPr>
        <w:tabs>
          <w:tab w:val="num" w:pos="5040"/>
        </w:tabs>
        <w:ind w:left="5040" w:hanging="360"/>
      </w:pPr>
      <w:rPr>
        <w:rFonts w:ascii="Arial" w:hAnsi="Arial" w:hint="default"/>
      </w:rPr>
    </w:lvl>
    <w:lvl w:ilvl="7" w:tplc="02C48716" w:tentative="1">
      <w:start w:val="1"/>
      <w:numFmt w:val="bullet"/>
      <w:lvlText w:val="•"/>
      <w:lvlJc w:val="left"/>
      <w:pPr>
        <w:tabs>
          <w:tab w:val="num" w:pos="5760"/>
        </w:tabs>
        <w:ind w:left="5760" w:hanging="360"/>
      </w:pPr>
      <w:rPr>
        <w:rFonts w:ascii="Arial" w:hAnsi="Arial" w:hint="default"/>
      </w:rPr>
    </w:lvl>
    <w:lvl w:ilvl="8" w:tplc="B9D256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B13325"/>
    <w:multiLevelType w:val="hybridMultilevel"/>
    <w:tmpl w:val="90EC2DCC"/>
    <w:lvl w:ilvl="0" w:tplc="7B887CD8">
      <w:start w:val="1"/>
      <w:numFmt w:val="bullet"/>
      <w:lvlText w:val="•"/>
      <w:lvlJc w:val="left"/>
      <w:pPr>
        <w:tabs>
          <w:tab w:val="num" w:pos="720"/>
        </w:tabs>
        <w:ind w:left="720" w:hanging="360"/>
      </w:pPr>
      <w:rPr>
        <w:rFonts w:ascii="Arial" w:hAnsi="Arial" w:hint="default"/>
      </w:rPr>
    </w:lvl>
    <w:lvl w:ilvl="1" w:tplc="0CA21338" w:tentative="1">
      <w:start w:val="1"/>
      <w:numFmt w:val="bullet"/>
      <w:lvlText w:val="•"/>
      <w:lvlJc w:val="left"/>
      <w:pPr>
        <w:tabs>
          <w:tab w:val="num" w:pos="1440"/>
        </w:tabs>
        <w:ind w:left="1440" w:hanging="360"/>
      </w:pPr>
      <w:rPr>
        <w:rFonts w:ascii="Arial" w:hAnsi="Arial" w:hint="default"/>
      </w:rPr>
    </w:lvl>
    <w:lvl w:ilvl="2" w:tplc="9B22F880" w:tentative="1">
      <w:start w:val="1"/>
      <w:numFmt w:val="bullet"/>
      <w:lvlText w:val="•"/>
      <w:lvlJc w:val="left"/>
      <w:pPr>
        <w:tabs>
          <w:tab w:val="num" w:pos="2160"/>
        </w:tabs>
        <w:ind w:left="2160" w:hanging="360"/>
      </w:pPr>
      <w:rPr>
        <w:rFonts w:ascii="Arial" w:hAnsi="Arial" w:hint="default"/>
      </w:rPr>
    </w:lvl>
    <w:lvl w:ilvl="3" w:tplc="DBE2F734" w:tentative="1">
      <w:start w:val="1"/>
      <w:numFmt w:val="bullet"/>
      <w:lvlText w:val="•"/>
      <w:lvlJc w:val="left"/>
      <w:pPr>
        <w:tabs>
          <w:tab w:val="num" w:pos="2880"/>
        </w:tabs>
        <w:ind w:left="2880" w:hanging="360"/>
      </w:pPr>
      <w:rPr>
        <w:rFonts w:ascii="Arial" w:hAnsi="Arial" w:hint="default"/>
      </w:rPr>
    </w:lvl>
    <w:lvl w:ilvl="4" w:tplc="07862372" w:tentative="1">
      <w:start w:val="1"/>
      <w:numFmt w:val="bullet"/>
      <w:lvlText w:val="•"/>
      <w:lvlJc w:val="left"/>
      <w:pPr>
        <w:tabs>
          <w:tab w:val="num" w:pos="3600"/>
        </w:tabs>
        <w:ind w:left="3600" w:hanging="360"/>
      </w:pPr>
      <w:rPr>
        <w:rFonts w:ascii="Arial" w:hAnsi="Arial" w:hint="default"/>
      </w:rPr>
    </w:lvl>
    <w:lvl w:ilvl="5" w:tplc="248696A8" w:tentative="1">
      <w:start w:val="1"/>
      <w:numFmt w:val="bullet"/>
      <w:lvlText w:val="•"/>
      <w:lvlJc w:val="left"/>
      <w:pPr>
        <w:tabs>
          <w:tab w:val="num" w:pos="4320"/>
        </w:tabs>
        <w:ind w:left="4320" w:hanging="360"/>
      </w:pPr>
      <w:rPr>
        <w:rFonts w:ascii="Arial" w:hAnsi="Arial" w:hint="default"/>
      </w:rPr>
    </w:lvl>
    <w:lvl w:ilvl="6" w:tplc="189ED892" w:tentative="1">
      <w:start w:val="1"/>
      <w:numFmt w:val="bullet"/>
      <w:lvlText w:val="•"/>
      <w:lvlJc w:val="left"/>
      <w:pPr>
        <w:tabs>
          <w:tab w:val="num" w:pos="5040"/>
        </w:tabs>
        <w:ind w:left="5040" w:hanging="360"/>
      </w:pPr>
      <w:rPr>
        <w:rFonts w:ascii="Arial" w:hAnsi="Arial" w:hint="default"/>
      </w:rPr>
    </w:lvl>
    <w:lvl w:ilvl="7" w:tplc="0986A34A" w:tentative="1">
      <w:start w:val="1"/>
      <w:numFmt w:val="bullet"/>
      <w:lvlText w:val="•"/>
      <w:lvlJc w:val="left"/>
      <w:pPr>
        <w:tabs>
          <w:tab w:val="num" w:pos="5760"/>
        </w:tabs>
        <w:ind w:left="5760" w:hanging="360"/>
      </w:pPr>
      <w:rPr>
        <w:rFonts w:ascii="Arial" w:hAnsi="Arial" w:hint="default"/>
      </w:rPr>
    </w:lvl>
    <w:lvl w:ilvl="8" w:tplc="FD6A53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76193B"/>
    <w:multiLevelType w:val="hybridMultilevel"/>
    <w:tmpl w:val="586ECC4A"/>
    <w:lvl w:ilvl="0" w:tplc="B2C6C768">
      <w:start w:val="1"/>
      <w:numFmt w:val="lowerRoman"/>
      <w:pStyle w:val="NumberedList3"/>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538B3392"/>
    <w:multiLevelType w:val="hybridMultilevel"/>
    <w:tmpl w:val="945E4E08"/>
    <w:lvl w:ilvl="0" w:tplc="3F1C995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60F72"/>
    <w:multiLevelType w:val="hybridMultilevel"/>
    <w:tmpl w:val="0532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E734D"/>
    <w:multiLevelType w:val="hybridMultilevel"/>
    <w:tmpl w:val="F39E97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5D20FB"/>
    <w:multiLevelType w:val="hybridMultilevel"/>
    <w:tmpl w:val="0CB4DA14"/>
    <w:lvl w:ilvl="0" w:tplc="E39676BA">
      <w:start w:val="1"/>
      <w:numFmt w:val="bullet"/>
      <w:lvlText w:val="•"/>
      <w:lvlJc w:val="left"/>
      <w:pPr>
        <w:tabs>
          <w:tab w:val="num" w:pos="720"/>
        </w:tabs>
        <w:ind w:left="720" w:hanging="360"/>
      </w:pPr>
      <w:rPr>
        <w:rFonts w:ascii="Arial" w:hAnsi="Arial" w:hint="default"/>
      </w:rPr>
    </w:lvl>
    <w:lvl w:ilvl="1" w:tplc="4A922378" w:tentative="1">
      <w:start w:val="1"/>
      <w:numFmt w:val="bullet"/>
      <w:lvlText w:val="•"/>
      <w:lvlJc w:val="left"/>
      <w:pPr>
        <w:tabs>
          <w:tab w:val="num" w:pos="1440"/>
        </w:tabs>
        <w:ind w:left="1440" w:hanging="360"/>
      </w:pPr>
      <w:rPr>
        <w:rFonts w:ascii="Arial" w:hAnsi="Arial" w:hint="default"/>
      </w:rPr>
    </w:lvl>
    <w:lvl w:ilvl="2" w:tplc="0884EC24" w:tentative="1">
      <w:start w:val="1"/>
      <w:numFmt w:val="bullet"/>
      <w:lvlText w:val="•"/>
      <w:lvlJc w:val="left"/>
      <w:pPr>
        <w:tabs>
          <w:tab w:val="num" w:pos="2160"/>
        </w:tabs>
        <w:ind w:left="2160" w:hanging="360"/>
      </w:pPr>
      <w:rPr>
        <w:rFonts w:ascii="Arial" w:hAnsi="Arial" w:hint="default"/>
      </w:rPr>
    </w:lvl>
    <w:lvl w:ilvl="3" w:tplc="B6D6C878" w:tentative="1">
      <w:start w:val="1"/>
      <w:numFmt w:val="bullet"/>
      <w:lvlText w:val="•"/>
      <w:lvlJc w:val="left"/>
      <w:pPr>
        <w:tabs>
          <w:tab w:val="num" w:pos="2880"/>
        </w:tabs>
        <w:ind w:left="2880" w:hanging="360"/>
      </w:pPr>
      <w:rPr>
        <w:rFonts w:ascii="Arial" w:hAnsi="Arial" w:hint="default"/>
      </w:rPr>
    </w:lvl>
    <w:lvl w:ilvl="4" w:tplc="17AC6B0E" w:tentative="1">
      <w:start w:val="1"/>
      <w:numFmt w:val="bullet"/>
      <w:lvlText w:val="•"/>
      <w:lvlJc w:val="left"/>
      <w:pPr>
        <w:tabs>
          <w:tab w:val="num" w:pos="3600"/>
        </w:tabs>
        <w:ind w:left="3600" w:hanging="360"/>
      </w:pPr>
      <w:rPr>
        <w:rFonts w:ascii="Arial" w:hAnsi="Arial" w:hint="default"/>
      </w:rPr>
    </w:lvl>
    <w:lvl w:ilvl="5" w:tplc="52F01296" w:tentative="1">
      <w:start w:val="1"/>
      <w:numFmt w:val="bullet"/>
      <w:lvlText w:val="•"/>
      <w:lvlJc w:val="left"/>
      <w:pPr>
        <w:tabs>
          <w:tab w:val="num" w:pos="4320"/>
        </w:tabs>
        <w:ind w:left="4320" w:hanging="360"/>
      </w:pPr>
      <w:rPr>
        <w:rFonts w:ascii="Arial" w:hAnsi="Arial" w:hint="default"/>
      </w:rPr>
    </w:lvl>
    <w:lvl w:ilvl="6" w:tplc="50FA083C" w:tentative="1">
      <w:start w:val="1"/>
      <w:numFmt w:val="bullet"/>
      <w:lvlText w:val="•"/>
      <w:lvlJc w:val="left"/>
      <w:pPr>
        <w:tabs>
          <w:tab w:val="num" w:pos="5040"/>
        </w:tabs>
        <w:ind w:left="5040" w:hanging="360"/>
      </w:pPr>
      <w:rPr>
        <w:rFonts w:ascii="Arial" w:hAnsi="Arial" w:hint="default"/>
      </w:rPr>
    </w:lvl>
    <w:lvl w:ilvl="7" w:tplc="210C0B22" w:tentative="1">
      <w:start w:val="1"/>
      <w:numFmt w:val="bullet"/>
      <w:lvlText w:val="•"/>
      <w:lvlJc w:val="left"/>
      <w:pPr>
        <w:tabs>
          <w:tab w:val="num" w:pos="5760"/>
        </w:tabs>
        <w:ind w:left="5760" w:hanging="360"/>
      </w:pPr>
      <w:rPr>
        <w:rFonts w:ascii="Arial" w:hAnsi="Arial" w:hint="default"/>
      </w:rPr>
    </w:lvl>
    <w:lvl w:ilvl="8" w:tplc="8A6482D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152A89"/>
    <w:multiLevelType w:val="hybridMultilevel"/>
    <w:tmpl w:val="BBFAEB10"/>
    <w:lvl w:ilvl="0" w:tplc="5B867EC2">
      <w:start w:val="1"/>
      <w:numFmt w:val="decimal"/>
      <w:pStyle w:val="NumberedList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FE822C6"/>
    <w:multiLevelType w:val="hybridMultilevel"/>
    <w:tmpl w:val="7074ADA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15:restartNumberingAfterBreak="0">
    <w:nsid w:val="60EC7CE9"/>
    <w:multiLevelType w:val="hybridMultilevel"/>
    <w:tmpl w:val="90D0EB3C"/>
    <w:lvl w:ilvl="0" w:tplc="7A601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730DBC"/>
    <w:multiLevelType w:val="hybridMultilevel"/>
    <w:tmpl w:val="2FE0EF0A"/>
    <w:lvl w:ilvl="0" w:tplc="3190E1D8">
      <w:start w:val="1"/>
      <w:numFmt w:val="upperLetter"/>
      <w:pStyle w:val="Heading7"/>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0ECA8B"/>
    <w:multiLevelType w:val="hybridMultilevel"/>
    <w:tmpl w:val="64B04BF2"/>
    <w:lvl w:ilvl="0" w:tplc="035E9E14">
      <w:start w:val="1"/>
      <w:numFmt w:val="decimal"/>
      <w:lvlText w:val="%1)"/>
      <w:lvlJc w:val="left"/>
      <w:pPr>
        <w:ind w:left="720" w:hanging="360"/>
      </w:pPr>
    </w:lvl>
    <w:lvl w:ilvl="1" w:tplc="176AB318">
      <w:start w:val="1"/>
      <w:numFmt w:val="lowerLetter"/>
      <w:lvlText w:val="%2."/>
      <w:lvlJc w:val="left"/>
      <w:pPr>
        <w:ind w:left="1440" w:hanging="360"/>
      </w:pPr>
    </w:lvl>
    <w:lvl w:ilvl="2" w:tplc="393C3A7C">
      <w:start w:val="1"/>
      <w:numFmt w:val="lowerRoman"/>
      <w:lvlText w:val="%3."/>
      <w:lvlJc w:val="right"/>
      <w:pPr>
        <w:ind w:left="2160" w:hanging="180"/>
      </w:pPr>
    </w:lvl>
    <w:lvl w:ilvl="3" w:tplc="15B2B560">
      <w:start w:val="1"/>
      <w:numFmt w:val="decimal"/>
      <w:lvlText w:val="%4."/>
      <w:lvlJc w:val="left"/>
      <w:pPr>
        <w:ind w:left="2880" w:hanging="360"/>
      </w:pPr>
    </w:lvl>
    <w:lvl w:ilvl="4" w:tplc="92F414B4">
      <w:start w:val="1"/>
      <w:numFmt w:val="lowerLetter"/>
      <w:lvlText w:val="%5."/>
      <w:lvlJc w:val="left"/>
      <w:pPr>
        <w:ind w:left="3600" w:hanging="360"/>
      </w:pPr>
    </w:lvl>
    <w:lvl w:ilvl="5" w:tplc="7F020936">
      <w:start w:val="1"/>
      <w:numFmt w:val="lowerRoman"/>
      <w:lvlText w:val="%6."/>
      <w:lvlJc w:val="right"/>
      <w:pPr>
        <w:ind w:left="4320" w:hanging="180"/>
      </w:pPr>
    </w:lvl>
    <w:lvl w:ilvl="6" w:tplc="CD06E50C">
      <w:start w:val="1"/>
      <w:numFmt w:val="decimal"/>
      <w:lvlText w:val="%7."/>
      <w:lvlJc w:val="left"/>
      <w:pPr>
        <w:ind w:left="5040" w:hanging="360"/>
      </w:pPr>
    </w:lvl>
    <w:lvl w:ilvl="7" w:tplc="7D84D332">
      <w:start w:val="1"/>
      <w:numFmt w:val="lowerLetter"/>
      <w:lvlText w:val="%8."/>
      <w:lvlJc w:val="left"/>
      <w:pPr>
        <w:ind w:left="5760" w:hanging="360"/>
      </w:pPr>
    </w:lvl>
    <w:lvl w:ilvl="8" w:tplc="CC185232">
      <w:start w:val="1"/>
      <w:numFmt w:val="lowerRoman"/>
      <w:lvlText w:val="%9."/>
      <w:lvlJc w:val="right"/>
      <w:pPr>
        <w:ind w:left="6480" w:hanging="180"/>
      </w:pPr>
    </w:lvl>
  </w:abstractNum>
  <w:abstractNum w:abstractNumId="40" w15:restartNumberingAfterBreak="0">
    <w:nsid w:val="65D02DC0"/>
    <w:multiLevelType w:val="hybridMultilevel"/>
    <w:tmpl w:val="C92A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95DF9"/>
    <w:multiLevelType w:val="hybridMultilevel"/>
    <w:tmpl w:val="EAB47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CC03EC"/>
    <w:multiLevelType w:val="hybridMultilevel"/>
    <w:tmpl w:val="3D2ACE56"/>
    <w:lvl w:ilvl="0" w:tplc="4CCEEE74">
      <w:start w:val="1"/>
      <w:numFmt w:val="bullet"/>
      <w:lvlText w:val=""/>
      <w:lvlJc w:val="left"/>
      <w:pPr>
        <w:ind w:left="720" w:hanging="360"/>
      </w:pPr>
      <w:rPr>
        <w:rFonts w:ascii="Symbol" w:hAnsi="Symbol" w:hint="default"/>
      </w:rPr>
    </w:lvl>
    <w:lvl w:ilvl="1" w:tplc="6FD25BF6">
      <w:start w:val="1"/>
      <w:numFmt w:val="bullet"/>
      <w:lvlText w:val="o"/>
      <w:lvlJc w:val="left"/>
      <w:pPr>
        <w:ind w:left="1440" w:hanging="360"/>
      </w:pPr>
      <w:rPr>
        <w:rFonts w:ascii="Courier New" w:hAnsi="Courier New" w:hint="default"/>
      </w:rPr>
    </w:lvl>
    <w:lvl w:ilvl="2" w:tplc="5D74A050">
      <w:start w:val="1"/>
      <w:numFmt w:val="bullet"/>
      <w:lvlText w:val=""/>
      <w:lvlJc w:val="left"/>
      <w:pPr>
        <w:ind w:left="2160" w:hanging="360"/>
      </w:pPr>
      <w:rPr>
        <w:rFonts w:ascii="Wingdings" w:hAnsi="Wingdings" w:hint="default"/>
      </w:rPr>
    </w:lvl>
    <w:lvl w:ilvl="3" w:tplc="CA666522">
      <w:start w:val="1"/>
      <w:numFmt w:val="bullet"/>
      <w:lvlText w:val=""/>
      <w:lvlJc w:val="left"/>
      <w:pPr>
        <w:ind w:left="2880" w:hanging="360"/>
      </w:pPr>
      <w:rPr>
        <w:rFonts w:ascii="Symbol" w:hAnsi="Symbol" w:hint="default"/>
      </w:rPr>
    </w:lvl>
    <w:lvl w:ilvl="4" w:tplc="42D8AA08">
      <w:start w:val="1"/>
      <w:numFmt w:val="bullet"/>
      <w:lvlText w:val="o"/>
      <w:lvlJc w:val="left"/>
      <w:pPr>
        <w:ind w:left="3600" w:hanging="360"/>
      </w:pPr>
      <w:rPr>
        <w:rFonts w:ascii="Courier New" w:hAnsi="Courier New" w:hint="default"/>
      </w:rPr>
    </w:lvl>
    <w:lvl w:ilvl="5" w:tplc="5F84BF0A">
      <w:start w:val="1"/>
      <w:numFmt w:val="bullet"/>
      <w:lvlText w:val=""/>
      <w:lvlJc w:val="left"/>
      <w:pPr>
        <w:ind w:left="4320" w:hanging="360"/>
      </w:pPr>
      <w:rPr>
        <w:rFonts w:ascii="Wingdings" w:hAnsi="Wingdings" w:hint="default"/>
      </w:rPr>
    </w:lvl>
    <w:lvl w:ilvl="6" w:tplc="99885FCC">
      <w:start w:val="1"/>
      <w:numFmt w:val="bullet"/>
      <w:lvlText w:val=""/>
      <w:lvlJc w:val="left"/>
      <w:pPr>
        <w:ind w:left="5040" w:hanging="360"/>
      </w:pPr>
      <w:rPr>
        <w:rFonts w:ascii="Symbol" w:hAnsi="Symbol" w:hint="default"/>
      </w:rPr>
    </w:lvl>
    <w:lvl w:ilvl="7" w:tplc="B0E0FDCA">
      <w:start w:val="1"/>
      <w:numFmt w:val="bullet"/>
      <w:lvlText w:val="o"/>
      <w:lvlJc w:val="left"/>
      <w:pPr>
        <w:ind w:left="5760" w:hanging="360"/>
      </w:pPr>
      <w:rPr>
        <w:rFonts w:ascii="Courier New" w:hAnsi="Courier New" w:hint="default"/>
      </w:rPr>
    </w:lvl>
    <w:lvl w:ilvl="8" w:tplc="B36CD624">
      <w:start w:val="1"/>
      <w:numFmt w:val="bullet"/>
      <w:lvlText w:val=""/>
      <w:lvlJc w:val="left"/>
      <w:pPr>
        <w:ind w:left="6480" w:hanging="360"/>
      </w:pPr>
      <w:rPr>
        <w:rFonts w:ascii="Wingdings" w:hAnsi="Wingdings" w:hint="default"/>
      </w:rPr>
    </w:lvl>
  </w:abstractNum>
  <w:abstractNum w:abstractNumId="43" w15:restartNumberingAfterBreak="0">
    <w:nsid w:val="7DEC294C"/>
    <w:multiLevelType w:val="multilevel"/>
    <w:tmpl w:val="80F8484C"/>
    <w:numStyleLink w:val="Headings"/>
  </w:abstractNum>
  <w:abstractNum w:abstractNumId="44" w15:restartNumberingAfterBreak="0">
    <w:nsid w:val="7F313E1E"/>
    <w:multiLevelType w:val="hybridMultilevel"/>
    <w:tmpl w:val="76CE3B46"/>
    <w:lvl w:ilvl="0" w:tplc="694E2DEC">
      <w:start w:val="1"/>
      <w:numFmt w:val="bullet"/>
      <w:pStyle w:val="BulletList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14707749">
    <w:abstractNumId w:val="39"/>
  </w:num>
  <w:num w:numId="2" w16cid:durableId="1807115965">
    <w:abstractNumId w:val="42"/>
  </w:num>
  <w:num w:numId="3" w16cid:durableId="1690181727">
    <w:abstractNumId w:val="10"/>
  </w:num>
  <w:num w:numId="4" w16cid:durableId="1946577479">
    <w:abstractNumId w:val="16"/>
  </w:num>
  <w:num w:numId="5" w16cid:durableId="309479914">
    <w:abstractNumId w:val="26"/>
  </w:num>
  <w:num w:numId="6" w16cid:durableId="1896352827">
    <w:abstractNumId w:val="27"/>
  </w:num>
  <w:num w:numId="7" w16cid:durableId="829101786">
    <w:abstractNumId w:val="43"/>
  </w:num>
  <w:num w:numId="8" w16cid:durableId="290012733">
    <w:abstractNumId w:val="44"/>
  </w:num>
  <w:num w:numId="9" w16cid:durableId="374737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621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44647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459973">
    <w:abstractNumId w:val="38"/>
  </w:num>
  <w:num w:numId="13" w16cid:durableId="644745176">
    <w:abstractNumId w:val="9"/>
  </w:num>
  <w:num w:numId="14" w16cid:durableId="1635019532">
    <w:abstractNumId w:val="7"/>
  </w:num>
  <w:num w:numId="15" w16cid:durableId="498037569">
    <w:abstractNumId w:val="6"/>
  </w:num>
  <w:num w:numId="16" w16cid:durableId="114446918">
    <w:abstractNumId w:val="5"/>
  </w:num>
  <w:num w:numId="17" w16cid:durableId="99758684">
    <w:abstractNumId w:val="4"/>
  </w:num>
  <w:num w:numId="18" w16cid:durableId="1552960573">
    <w:abstractNumId w:val="8"/>
  </w:num>
  <w:num w:numId="19" w16cid:durableId="30493659">
    <w:abstractNumId w:val="3"/>
  </w:num>
  <w:num w:numId="20" w16cid:durableId="1461680581">
    <w:abstractNumId w:val="2"/>
  </w:num>
  <w:num w:numId="21" w16cid:durableId="919217351">
    <w:abstractNumId w:val="1"/>
  </w:num>
  <w:num w:numId="22" w16cid:durableId="548540545">
    <w:abstractNumId w:val="0"/>
  </w:num>
  <w:num w:numId="23" w16cid:durableId="547255066">
    <w:abstractNumId w:val="22"/>
  </w:num>
  <w:num w:numId="24" w16cid:durableId="527374195">
    <w:abstractNumId w:val="14"/>
  </w:num>
  <w:num w:numId="25" w16cid:durableId="1999772245">
    <w:abstractNumId w:val="41"/>
  </w:num>
  <w:num w:numId="26" w16cid:durableId="523328747">
    <w:abstractNumId w:val="40"/>
  </w:num>
  <w:num w:numId="27" w16cid:durableId="2054885075">
    <w:abstractNumId w:val="32"/>
  </w:num>
  <w:num w:numId="28" w16cid:durableId="1640500295">
    <w:abstractNumId w:val="21"/>
  </w:num>
  <w:num w:numId="29" w16cid:durableId="87820247">
    <w:abstractNumId w:val="33"/>
  </w:num>
  <w:num w:numId="30" w16cid:durableId="1206603302">
    <w:abstractNumId w:val="31"/>
  </w:num>
  <w:num w:numId="31" w16cid:durableId="668337489">
    <w:abstractNumId w:val="20"/>
  </w:num>
  <w:num w:numId="32" w16cid:durableId="1482380988">
    <w:abstractNumId w:val="25"/>
  </w:num>
  <w:num w:numId="33" w16cid:durableId="1384283773">
    <w:abstractNumId w:val="13"/>
  </w:num>
  <w:num w:numId="34" w16cid:durableId="1497263455">
    <w:abstractNumId w:val="28"/>
  </w:num>
  <w:num w:numId="35" w16cid:durableId="2009673197">
    <w:abstractNumId w:val="34"/>
  </w:num>
  <w:num w:numId="36" w16cid:durableId="971980192">
    <w:abstractNumId w:val="19"/>
  </w:num>
  <w:num w:numId="37" w16cid:durableId="1393427994">
    <w:abstractNumId w:val="12"/>
  </w:num>
  <w:num w:numId="38" w16cid:durableId="1736930769">
    <w:abstractNumId w:val="29"/>
  </w:num>
  <w:num w:numId="39" w16cid:durableId="1745568854">
    <w:abstractNumId w:val="11"/>
  </w:num>
  <w:num w:numId="40" w16cid:durableId="503856545">
    <w:abstractNumId w:val="17"/>
  </w:num>
  <w:num w:numId="41" w16cid:durableId="1768887451">
    <w:abstractNumId w:val="15"/>
  </w:num>
  <w:num w:numId="42" w16cid:durableId="2064671298">
    <w:abstractNumId w:val="18"/>
  </w:num>
  <w:num w:numId="43" w16cid:durableId="578100142">
    <w:abstractNumId w:val="23"/>
  </w:num>
  <w:num w:numId="44" w16cid:durableId="1615214910">
    <w:abstractNumId w:val="24"/>
  </w:num>
  <w:num w:numId="45" w16cid:durableId="1673755331">
    <w:abstractNumId w:val="36"/>
  </w:num>
  <w:num w:numId="46" w16cid:durableId="1182163005">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6C"/>
    <w:rsid w:val="00016FC4"/>
    <w:rsid w:val="00020B3C"/>
    <w:rsid w:val="00021226"/>
    <w:rsid w:val="00022BDB"/>
    <w:rsid w:val="00025D30"/>
    <w:rsid w:val="0002745D"/>
    <w:rsid w:val="00037CF9"/>
    <w:rsid w:val="000418E0"/>
    <w:rsid w:val="00043568"/>
    <w:rsid w:val="00043A9A"/>
    <w:rsid w:val="00046AF6"/>
    <w:rsid w:val="00050013"/>
    <w:rsid w:val="000503B7"/>
    <w:rsid w:val="000525C8"/>
    <w:rsid w:val="00053914"/>
    <w:rsid w:val="0005399B"/>
    <w:rsid w:val="000576FC"/>
    <w:rsid w:val="00060421"/>
    <w:rsid w:val="00060F0E"/>
    <w:rsid w:val="00061454"/>
    <w:rsid w:val="00061A25"/>
    <w:rsid w:val="000641B9"/>
    <w:rsid w:val="00070784"/>
    <w:rsid w:val="00072BCF"/>
    <w:rsid w:val="000837C1"/>
    <w:rsid w:val="00090F5A"/>
    <w:rsid w:val="00095344"/>
    <w:rsid w:val="0009624A"/>
    <w:rsid w:val="000A1251"/>
    <w:rsid w:val="000A5846"/>
    <w:rsid w:val="000B4588"/>
    <w:rsid w:val="000B76CE"/>
    <w:rsid w:val="000C4650"/>
    <w:rsid w:val="000C543A"/>
    <w:rsid w:val="000C68D9"/>
    <w:rsid w:val="000C6B62"/>
    <w:rsid w:val="000D25D5"/>
    <w:rsid w:val="000D6C9B"/>
    <w:rsid w:val="000D6FCD"/>
    <w:rsid w:val="000E0DAF"/>
    <w:rsid w:val="000E79A4"/>
    <w:rsid w:val="000F0AEA"/>
    <w:rsid w:val="000F4F40"/>
    <w:rsid w:val="00126E1C"/>
    <w:rsid w:val="0013535D"/>
    <w:rsid w:val="0013587A"/>
    <w:rsid w:val="00136E66"/>
    <w:rsid w:val="00143154"/>
    <w:rsid w:val="00143A66"/>
    <w:rsid w:val="0014454F"/>
    <w:rsid w:val="00144FB9"/>
    <w:rsid w:val="00145B26"/>
    <w:rsid w:val="00165023"/>
    <w:rsid w:val="001652E2"/>
    <w:rsid w:val="00165E6B"/>
    <w:rsid w:val="001724D2"/>
    <w:rsid w:val="0017286B"/>
    <w:rsid w:val="0017333F"/>
    <w:rsid w:val="0017367E"/>
    <w:rsid w:val="001743CC"/>
    <w:rsid w:val="00180FF3"/>
    <w:rsid w:val="0018134C"/>
    <w:rsid w:val="00182AF4"/>
    <w:rsid w:val="00185B7F"/>
    <w:rsid w:val="001874CE"/>
    <w:rsid w:val="00190EB5"/>
    <w:rsid w:val="001934DC"/>
    <w:rsid w:val="001A2062"/>
    <w:rsid w:val="001A6273"/>
    <w:rsid w:val="001B2E71"/>
    <w:rsid w:val="001C2F3E"/>
    <w:rsid w:val="001E4074"/>
    <w:rsid w:val="001E5A66"/>
    <w:rsid w:val="001F1A80"/>
    <w:rsid w:val="002000FA"/>
    <w:rsid w:val="00204C20"/>
    <w:rsid w:val="00206770"/>
    <w:rsid w:val="00206A40"/>
    <w:rsid w:val="00227681"/>
    <w:rsid w:val="00231851"/>
    <w:rsid w:val="00231CFE"/>
    <w:rsid w:val="00234B60"/>
    <w:rsid w:val="00237E86"/>
    <w:rsid w:val="00237ECF"/>
    <w:rsid w:val="0024044A"/>
    <w:rsid w:val="00254F12"/>
    <w:rsid w:val="0025502F"/>
    <w:rsid w:val="00260D51"/>
    <w:rsid w:val="00265E4D"/>
    <w:rsid w:val="00267875"/>
    <w:rsid w:val="00272EC9"/>
    <w:rsid w:val="0027410A"/>
    <w:rsid w:val="00274B27"/>
    <w:rsid w:val="00274CFE"/>
    <w:rsid w:val="00281B78"/>
    <w:rsid w:val="002842A3"/>
    <w:rsid w:val="0029127F"/>
    <w:rsid w:val="00293806"/>
    <w:rsid w:val="002A24ED"/>
    <w:rsid w:val="002A2FF2"/>
    <w:rsid w:val="002A5CE1"/>
    <w:rsid w:val="002B66AC"/>
    <w:rsid w:val="002C107A"/>
    <w:rsid w:val="002C3463"/>
    <w:rsid w:val="002C5DCD"/>
    <w:rsid w:val="002D36A1"/>
    <w:rsid w:val="002F5C94"/>
    <w:rsid w:val="002F7420"/>
    <w:rsid w:val="00300050"/>
    <w:rsid w:val="003033EB"/>
    <w:rsid w:val="00305C17"/>
    <w:rsid w:val="00306057"/>
    <w:rsid w:val="00306C22"/>
    <w:rsid w:val="00310429"/>
    <w:rsid w:val="00322F33"/>
    <w:rsid w:val="003245AB"/>
    <w:rsid w:val="00325EB0"/>
    <w:rsid w:val="00335BE0"/>
    <w:rsid w:val="0034418E"/>
    <w:rsid w:val="0034449E"/>
    <w:rsid w:val="00345CCE"/>
    <w:rsid w:val="003469B2"/>
    <w:rsid w:val="00350FE1"/>
    <w:rsid w:val="00356075"/>
    <w:rsid w:val="00360D2F"/>
    <w:rsid w:val="00362A66"/>
    <w:rsid w:val="00364158"/>
    <w:rsid w:val="00364356"/>
    <w:rsid w:val="00366A34"/>
    <w:rsid w:val="003717E2"/>
    <w:rsid w:val="003730FA"/>
    <w:rsid w:val="0037356A"/>
    <w:rsid w:val="0037357C"/>
    <w:rsid w:val="00373581"/>
    <w:rsid w:val="00376F52"/>
    <w:rsid w:val="00384103"/>
    <w:rsid w:val="00386C36"/>
    <w:rsid w:val="00393518"/>
    <w:rsid w:val="003B3165"/>
    <w:rsid w:val="003B4174"/>
    <w:rsid w:val="003B48EF"/>
    <w:rsid w:val="003B6A53"/>
    <w:rsid w:val="003B6B0C"/>
    <w:rsid w:val="003C0E43"/>
    <w:rsid w:val="003C4CBF"/>
    <w:rsid w:val="003C673C"/>
    <w:rsid w:val="003C6EEC"/>
    <w:rsid w:val="003D7318"/>
    <w:rsid w:val="003D7691"/>
    <w:rsid w:val="003E10F5"/>
    <w:rsid w:val="003E4520"/>
    <w:rsid w:val="003F2023"/>
    <w:rsid w:val="003F6941"/>
    <w:rsid w:val="00404595"/>
    <w:rsid w:val="00405433"/>
    <w:rsid w:val="0040716C"/>
    <w:rsid w:val="004147AD"/>
    <w:rsid w:val="00415203"/>
    <w:rsid w:val="0041520E"/>
    <w:rsid w:val="00417A30"/>
    <w:rsid w:val="00422F42"/>
    <w:rsid w:val="00430FA6"/>
    <w:rsid w:val="004366A1"/>
    <w:rsid w:val="00443948"/>
    <w:rsid w:val="00445F8E"/>
    <w:rsid w:val="00451280"/>
    <w:rsid w:val="004522D5"/>
    <w:rsid w:val="00456F9A"/>
    <w:rsid w:val="00462581"/>
    <w:rsid w:val="00465C6B"/>
    <w:rsid w:val="0047172E"/>
    <w:rsid w:val="00471BE8"/>
    <w:rsid w:val="004868DE"/>
    <w:rsid w:val="00487EE8"/>
    <w:rsid w:val="00491CFA"/>
    <w:rsid w:val="00493E77"/>
    <w:rsid w:val="004A166D"/>
    <w:rsid w:val="004A1D72"/>
    <w:rsid w:val="004A4FBD"/>
    <w:rsid w:val="004A7D47"/>
    <w:rsid w:val="004B0DEE"/>
    <w:rsid w:val="004B5F94"/>
    <w:rsid w:val="004C15FC"/>
    <w:rsid w:val="004C39D0"/>
    <w:rsid w:val="004C4985"/>
    <w:rsid w:val="004C543B"/>
    <w:rsid w:val="004C7B44"/>
    <w:rsid w:val="004E7BE8"/>
    <w:rsid w:val="004E7ECC"/>
    <w:rsid w:val="004F07ED"/>
    <w:rsid w:val="004F1FB0"/>
    <w:rsid w:val="004F2C27"/>
    <w:rsid w:val="004F7239"/>
    <w:rsid w:val="00503035"/>
    <w:rsid w:val="00511A8C"/>
    <w:rsid w:val="00515955"/>
    <w:rsid w:val="00516C91"/>
    <w:rsid w:val="005236F6"/>
    <w:rsid w:val="00524F70"/>
    <w:rsid w:val="005251C5"/>
    <w:rsid w:val="00527396"/>
    <w:rsid w:val="00530703"/>
    <w:rsid w:val="00536D30"/>
    <w:rsid w:val="00541FD2"/>
    <w:rsid w:val="00543049"/>
    <w:rsid w:val="005430F6"/>
    <w:rsid w:val="005455A5"/>
    <w:rsid w:val="00546BB2"/>
    <w:rsid w:val="00552397"/>
    <w:rsid w:val="005605CB"/>
    <w:rsid w:val="005645A3"/>
    <w:rsid w:val="00567673"/>
    <w:rsid w:val="005762A2"/>
    <w:rsid w:val="005859B0"/>
    <w:rsid w:val="005878F0"/>
    <w:rsid w:val="005A008E"/>
    <w:rsid w:val="005A3923"/>
    <w:rsid w:val="005B750C"/>
    <w:rsid w:val="005C01C2"/>
    <w:rsid w:val="005C5DD4"/>
    <w:rsid w:val="005D59D3"/>
    <w:rsid w:val="005E0B1A"/>
    <w:rsid w:val="005E247E"/>
    <w:rsid w:val="005F4272"/>
    <w:rsid w:val="005F61A9"/>
    <w:rsid w:val="00604D61"/>
    <w:rsid w:val="006062AE"/>
    <w:rsid w:val="00607657"/>
    <w:rsid w:val="00613C94"/>
    <w:rsid w:val="0062184B"/>
    <w:rsid w:val="0062739A"/>
    <w:rsid w:val="00634227"/>
    <w:rsid w:val="00637BB2"/>
    <w:rsid w:val="0065444A"/>
    <w:rsid w:val="00663C1C"/>
    <w:rsid w:val="0066509A"/>
    <w:rsid w:val="00666123"/>
    <w:rsid w:val="0067210F"/>
    <w:rsid w:val="00672E38"/>
    <w:rsid w:val="00673EA3"/>
    <w:rsid w:val="00674AF1"/>
    <w:rsid w:val="0067597F"/>
    <w:rsid w:val="00681927"/>
    <w:rsid w:val="006871A1"/>
    <w:rsid w:val="00691CC9"/>
    <w:rsid w:val="00693FB6"/>
    <w:rsid w:val="00695107"/>
    <w:rsid w:val="00697F7C"/>
    <w:rsid w:val="006A6F27"/>
    <w:rsid w:val="006C4B57"/>
    <w:rsid w:val="006C4C01"/>
    <w:rsid w:val="006C528E"/>
    <w:rsid w:val="006D2E86"/>
    <w:rsid w:val="006D4202"/>
    <w:rsid w:val="006D47BA"/>
    <w:rsid w:val="006D5B63"/>
    <w:rsid w:val="006D7897"/>
    <w:rsid w:val="006E2D3F"/>
    <w:rsid w:val="006E40A1"/>
    <w:rsid w:val="006E638B"/>
    <w:rsid w:val="006F0579"/>
    <w:rsid w:val="006F3F1F"/>
    <w:rsid w:val="006F420C"/>
    <w:rsid w:val="00700C1B"/>
    <w:rsid w:val="00705581"/>
    <w:rsid w:val="007062C1"/>
    <w:rsid w:val="00714AB5"/>
    <w:rsid w:val="00731B32"/>
    <w:rsid w:val="00732FB4"/>
    <w:rsid w:val="00737563"/>
    <w:rsid w:val="0074043B"/>
    <w:rsid w:val="00742FA8"/>
    <w:rsid w:val="007437A8"/>
    <w:rsid w:val="007439B5"/>
    <w:rsid w:val="00751F49"/>
    <w:rsid w:val="00752563"/>
    <w:rsid w:val="007556C9"/>
    <w:rsid w:val="00756124"/>
    <w:rsid w:val="00756741"/>
    <w:rsid w:val="00762AA5"/>
    <w:rsid w:val="0076622B"/>
    <w:rsid w:val="00774652"/>
    <w:rsid w:val="007773D1"/>
    <w:rsid w:val="00780AA3"/>
    <w:rsid w:val="00782DED"/>
    <w:rsid w:val="00785BDF"/>
    <w:rsid w:val="00793951"/>
    <w:rsid w:val="00794E40"/>
    <w:rsid w:val="007A56E9"/>
    <w:rsid w:val="007B31AF"/>
    <w:rsid w:val="007B5461"/>
    <w:rsid w:val="007B7698"/>
    <w:rsid w:val="007C702F"/>
    <w:rsid w:val="007D3992"/>
    <w:rsid w:val="007D49E0"/>
    <w:rsid w:val="007E1EAA"/>
    <w:rsid w:val="007E25AC"/>
    <w:rsid w:val="007F69B3"/>
    <w:rsid w:val="0081114D"/>
    <w:rsid w:val="00813875"/>
    <w:rsid w:val="00814C56"/>
    <w:rsid w:val="00814DBD"/>
    <w:rsid w:val="008151A6"/>
    <w:rsid w:val="00816A9E"/>
    <w:rsid w:val="0081798F"/>
    <w:rsid w:val="008312A4"/>
    <w:rsid w:val="00834344"/>
    <w:rsid w:val="00836C8C"/>
    <w:rsid w:val="00837947"/>
    <w:rsid w:val="00842684"/>
    <w:rsid w:val="00856C74"/>
    <w:rsid w:val="00861CD8"/>
    <w:rsid w:val="008663CD"/>
    <w:rsid w:val="00875D8A"/>
    <w:rsid w:val="00883F82"/>
    <w:rsid w:val="00884760"/>
    <w:rsid w:val="0089522A"/>
    <w:rsid w:val="008A1494"/>
    <w:rsid w:val="008A4AA2"/>
    <w:rsid w:val="008B18FD"/>
    <w:rsid w:val="008B51B2"/>
    <w:rsid w:val="008C688C"/>
    <w:rsid w:val="008C7515"/>
    <w:rsid w:val="008D0FC2"/>
    <w:rsid w:val="008D25F6"/>
    <w:rsid w:val="008E0079"/>
    <w:rsid w:val="008E0DEB"/>
    <w:rsid w:val="008E1ADE"/>
    <w:rsid w:val="008E6EED"/>
    <w:rsid w:val="008F2345"/>
    <w:rsid w:val="008F3AAB"/>
    <w:rsid w:val="00903FD7"/>
    <w:rsid w:val="0090427C"/>
    <w:rsid w:val="009116CC"/>
    <w:rsid w:val="00914139"/>
    <w:rsid w:val="0091435F"/>
    <w:rsid w:val="00920920"/>
    <w:rsid w:val="009236A8"/>
    <w:rsid w:val="00925B7A"/>
    <w:rsid w:val="009309C5"/>
    <w:rsid w:val="00931B2C"/>
    <w:rsid w:val="009401EA"/>
    <w:rsid w:val="00940D90"/>
    <w:rsid w:val="00941E6E"/>
    <w:rsid w:val="009514BB"/>
    <w:rsid w:val="00953C91"/>
    <w:rsid w:val="00956F49"/>
    <w:rsid w:val="00960C26"/>
    <w:rsid w:val="009640BC"/>
    <w:rsid w:val="009649DF"/>
    <w:rsid w:val="00964CC3"/>
    <w:rsid w:val="0096507C"/>
    <w:rsid w:val="00965931"/>
    <w:rsid w:val="00966B17"/>
    <w:rsid w:val="00985012"/>
    <w:rsid w:val="0098528F"/>
    <w:rsid w:val="00990870"/>
    <w:rsid w:val="00996281"/>
    <w:rsid w:val="009973D3"/>
    <w:rsid w:val="009A0DB2"/>
    <w:rsid w:val="009A10FD"/>
    <w:rsid w:val="009A17D8"/>
    <w:rsid w:val="009A33F6"/>
    <w:rsid w:val="009B1E35"/>
    <w:rsid w:val="009C454D"/>
    <w:rsid w:val="009D1613"/>
    <w:rsid w:val="009D4797"/>
    <w:rsid w:val="009E10C0"/>
    <w:rsid w:val="009E724B"/>
    <w:rsid w:val="009F2E4E"/>
    <w:rsid w:val="009F33C7"/>
    <w:rsid w:val="009F3851"/>
    <w:rsid w:val="009F3DDB"/>
    <w:rsid w:val="009F5935"/>
    <w:rsid w:val="009F6AA4"/>
    <w:rsid w:val="009F6BF9"/>
    <w:rsid w:val="00A07D24"/>
    <w:rsid w:val="00A10945"/>
    <w:rsid w:val="00A13B52"/>
    <w:rsid w:val="00A15A21"/>
    <w:rsid w:val="00A20ABA"/>
    <w:rsid w:val="00A24A74"/>
    <w:rsid w:val="00A31A8F"/>
    <w:rsid w:val="00A44EB8"/>
    <w:rsid w:val="00A467A8"/>
    <w:rsid w:val="00A475DC"/>
    <w:rsid w:val="00A54EE8"/>
    <w:rsid w:val="00A60E74"/>
    <w:rsid w:val="00A717A4"/>
    <w:rsid w:val="00A73DA6"/>
    <w:rsid w:val="00A746F7"/>
    <w:rsid w:val="00A84384"/>
    <w:rsid w:val="00A914EE"/>
    <w:rsid w:val="00A91D88"/>
    <w:rsid w:val="00A93F44"/>
    <w:rsid w:val="00A95026"/>
    <w:rsid w:val="00A9508E"/>
    <w:rsid w:val="00A96127"/>
    <w:rsid w:val="00AA281E"/>
    <w:rsid w:val="00AA5CBA"/>
    <w:rsid w:val="00AB1C0A"/>
    <w:rsid w:val="00AB4DDD"/>
    <w:rsid w:val="00AB6D89"/>
    <w:rsid w:val="00AB7DA0"/>
    <w:rsid w:val="00AC519B"/>
    <w:rsid w:val="00AC558A"/>
    <w:rsid w:val="00AD79DA"/>
    <w:rsid w:val="00AE1699"/>
    <w:rsid w:val="00AF2D59"/>
    <w:rsid w:val="00AF34A0"/>
    <w:rsid w:val="00AF6F7C"/>
    <w:rsid w:val="00B0651C"/>
    <w:rsid w:val="00B12859"/>
    <w:rsid w:val="00B13AF6"/>
    <w:rsid w:val="00B310AD"/>
    <w:rsid w:val="00B34D93"/>
    <w:rsid w:val="00B51AE8"/>
    <w:rsid w:val="00B52636"/>
    <w:rsid w:val="00B538B3"/>
    <w:rsid w:val="00B548F4"/>
    <w:rsid w:val="00B56ADE"/>
    <w:rsid w:val="00B60706"/>
    <w:rsid w:val="00B642E6"/>
    <w:rsid w:val="00B64753"/>
    <w:rsid w:val="00B64E64"/>
    <w:rsid w:val="00B7240C"/>
    <w:rsid w:val="00B72699"/>
    <w:rsid w:val="00B8089C"/>
    <w:rsid w:val="00B80EA2"/>
    <w:rsid w:val="00B82A98"/>
    <w:rsid w:val="00B8653B"/>
    <w:rsid w:val="00B86CD2"/>
    <w:rsid w:val="00B87321"/>
    <w:rsid w:val="00B9526E"/>
    <w:rsid w:val="00BA6101"/>
    <w:rsid w:val="00BA722E"/>
    <w:rsid w:val="00BA76DE"/>
    <w:rsid w:val="00BB0E58"/>
    <w:rsid w:val="00BC1E04"/>
    <w:rsid w:val="00BC72FC"/>
    <w:rsid w:val="00BC793D"/>
    <w:rsid w:val="00BD233B"/>
    <w:rsid w:val="00BD6A0D"/>
    <w:rsid w:val="00BE62E8"/>
    <w:rsid w:val="00BE6789"/>
    <w:rsid w:val="00BE769F"/>
    <w:rsid w:val="00BF0B88"/>
    <w:rsid w:val="00BF6460"/>
    <w:rsid w:val="00C04852"/>
    <w:rsid w:val="00C156E5"/>
    <w:rsid w:val="00C214C3"/>
    <w:rsid w:val="00C2175C"/>
    <w:rsid w:val="00C21B40"/>
    <w:rsid w:val="00C23757"/>
    <w:rsid w:val="00C27548"/>
    <w:rsid w:val="00C345C7"/>
    <w:rsid w:val="00C40A40"/>
    <w:rsid w:val="00C41C51"/>
    <w:rsid w:val="00C422D6"/>
    <w:rsid w:val="00C46124"/>
    <w:rsid w:val="00C531C9"/>
    <w:rsid w:val="00C5513F"/>
    <w:rsid w:val="00C60E0B"/>
    <w:rsid w:val="00C761B5"/>
    <w:rsid w:val="00C773CD"/>
    <w:rsid w:val="00C82DED"/>
    <w:rsid w:val="00C86DE7"/>
    <w:rsid w:val="00C91147"/>
    <w:rsid w:val="00C92632"/>
    <w:rsid w:val="00C964B4"/>
    <w:rsid w:val="00CA171D"/>
    <w:rsid w:val="00CA1838"/>
    <w:rsid w:val="00CB0112"/>
    <w:rsid w:val="00CB4ECC"/>
    <w:rsid w:val="00CB5F07"/>
    <w:rsid w:val="00CC10CD"/>
    <w:rsid w:val="00CC23A3"/>
    <w:rsid w:val="00CC2976"/>
    <w:rsid w:val="00CC4193"/>
    <w:rsid w:val="00CC4883"/>
    <w:rsid w:val="00CD1C37"/>
    <w:rsid w:val="00CD7F11"/>
    <w:rsid w:val="00CE655B"/>
    <w:rsid w:val="00CF40C8"/>
    <w:rsid w:val="00CF4593"/>
    <w:rsid w:val="00CF7AFF"/>
    <w:rsid w:val="00D02929"/>
    <w:rsid w:val="00D07CD5"/>
    <w:rsid w:val="00D12152"/>
    <w:rsid w:val="00D13EF6"/>
    <w:rsid w:val="00D15D65"/>
    <w:rsid w:val="00D21562"/>
    <w:rsid w:val="00D26961"/>
    <w:rsid w:val="00D32C3E"/>
    <w:rsid w:val="00D330DC"/>
    <w:rsid w:val="00D34781"/>
    <w:rsid w:val="00D35993"/>
    <w:rsid w:val="00D53C20"/>
    <w:rsid w:val="00D55361"/>
    <w:rsid w:val="00D6222F"/>
    <w:rsid w:val="00D64BF8"/>
    <w:rsid w:val="00D747EA"/>
    <w:rsid w:val="00D779C5"/>
    <w:rsid w:val="00D84631"/>
    <w:rsid w:val="00D86646"/>
    <w:rsid w:val="00D95089"/>
    <w:rsid w:val="00D95222"/>
    <w:rsid w:val="00D97C73"/>
    <w:rsid w:val="00DA1D38"/>
    <w:rsid w:val="00DA6F37"/>
    <w:rsid w:val="00DB2C2F"/>
    <w:rsid w:val="00DB448F"/>
    <w:rsid w:val="00DB5A61"/>
    <w:rsid w:val="00DC2FE1"/>
    <w:rsid w:val="00DC6629"/>
    <w:rsid w:val="00DD75BC"/>
    <w:rsid w:val="00DE0042"/>
    <w:rsid w:val="00DE0544"/>
    <w:rsid w:val="00DE1733"/>
    <w:rsid w:val="00DE53E0"/>
    <w:rsid w:val="00DE6D5D"/>
    <w:rsid w:val="00DF217F"/>
    <w:rsid w:val="00DF362C"/>
    <w:rsid w:val="00E04F14"/>
    <w:rsid w:val="00E0665E"/>
    <w:rsid w:val="00E137A1"/>
    <w:rsid w:val="00E154D7"/>
    <w:rsid w:val="00E15F68"/>
    <w:rsid w:val="00E160CF"/>
    <w:rsid w:val="00E167A1"/>
    <w:rsid w:val="00E2186A"/>
    <w:rsid w:val="00E22E25"/>
    <w:rsid w:val="00E25039"/>
    <w:rsid w:val="00E304C6"/>
    <w:rsid w:val="00E3170A"/>
    <w:rsid w:val="00E33FCA"/>
    <w:rsid w:val="00E35ACF"/>
    <w:rsid w:val="00E35BDD"/>
    <w:rsid w:val="00E3748E"/>
    <w:rsid w:val="00E461EC"/>
    <w:rsid w:val="00E60250"/>
    <w:rsid w:val="00E60ACF"/>
    <w:rsid w:val="00E667EC"/>
    <w:rsid w:val="00E67594"/>
    <w:rsid w:val="00E8200E"/>
    <w:rsid w:val="00E82BDA"/>
    <w:rsid w:val="00E92683"/>
    <w:rsid w:val="00E92C11"/>
    <w:rsid w:val="00E96DAD"/>
    <w:rsid w:val="00EA41D8"/>
    <w:rsid w:val="00EA7A05"/>
    <w:rsid w:val="00EB1786"/>
    <w:rsid w:val="00EB4CC2"/>
    <w:rsid w:val="00EB5C43"/>
    <w:rsid w:val="00EB5D4E"/>
    <w:rsid w:val="00EB6A70"/>
    <w:rsid w:val="00EB7228"/>
    <w:rsid w:val="00EC2266"/>
    <w:rsid w:val="00EE150E"/>
    <w:rsid w:val="00EE35E3"/>
    <w:rsid w:val="00EF3663"/>
    <w:rsid w:val="00F01278"/>
    <w:rsid w:val="00F013E3"/>
    <w:rsid w:val="00F03146"/>
    <w:rsid w:val="00F049F4"/>
    <w:rsid w:val="00F05F0B"/>
    <w:rsid w:val="00F064E9"/>
    <w:rsid w:val="00F15D25"/>
    <w:rsid w:val="00F25219"/>
    <w:rsid w:val="00F27620"/>
    <w:rsid w:val="00F279AA"/>
    <w:rsid w:val="00F30654"/>
    <w:rsid w:val="00F369EF"/>
    <w:rsid w:val="00F40533"/>
    <w:rsid w:val="00F4190C"/>
    <w:rsid w:val="00F4779C"/>
    <w:rsid w:val="00F51AEC"/>
    <w:rsid w:val="00F57A0C"/>
    <w:rsid w:val="00F64C90"/>
    <w:rsid w:val="00F65F2A"/>
    <w:rsid w:val="00F65FF9"/>
    <w:rsid w:val="00F666AE"/>
    <w:rsid w:val="00F76733"/>
    <w:rsid w:val="00F95E56"/>
    <w:rsid w:val="00FA43C2"/>
    <w:rsid w:val="00FA5B5A"/>
    <w:rsid w:val="00FB1527"/>
    <w:rsid w:val="00FC3B5D"/>
    <w:rsid w:val="00FC508A"/>
    <w:rsid w:val="00FC72BC"/>
    <w:rsid w:val="00FD0FB3"/>
    <w:rsid w:val="00FE48DF"/>
    <w:rsid w:val="00FE64A5"/>
    <w:rsid w:val="00FF04D1"/>
    <w:rsid w:val="00FF2126"/>
    <w:rsid w:val="7B55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1D5F"/>
  <w15:docId w15:val="{C5C73759-6994-45DD-AC72-3342472D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26E1C"/>
    <w:rPr>
      <w:rFonts w:ascii="Calibri" w:hAnsi="Calibri"/>
    </w:rPr>
  </w:style>
  <w:style w:type="paragraph" w:styleId="Heading1">
    <w:name w:val="heading 1"/>
    <w:basedOn w:val="Normal"/>
    <w:next w:val="Normal"/>
    <w:link w:val="Heading1Char"/>
    <w:qFormat/>
    <w:rsid w:val="00C91147"/>
    <w:pPr>
      <w:keepNext/>
      <w:numPr>
        <w:numId w:val="7"/>
      </w:numPr>
      <w:spacing w:before="720" w:after="360" w:line="240" w:lineRule="auto"/>
      <w:ind w:left="720" w:hanging="720"/>
      <w:outlineLvl w:val="0"/>
    </w:pPr>
    <w:rPr>
      <w:rFonts w:eastAsiaTheme="majorEastAsia" w:cstheme="majorBidi"/>
      <w:b/>
      <w:smallCaps/>
      <w:kern w:val="28"/>
      <w:sz w:val="40"/>
      <w:szCs w:val="20"/>
    </w:rPr>
  </w:style>
  <w:style w:type="paragraph" w:styleId="Heading2">
    <w:name w:val="heading 2"/>
    <w:basedOn w:val="Normal"/>
    <w:next w:val="Normal"/>
    <w:link w:val="Heading2Char"/>
    <w:qFormat/>
    <w:rsid w:val="00985012"/>
    <w:pPr>
      <w:keepNext/>
      <w:numPr>
        <w:ilvl w:val="1"/>
        <w:numId w:val="7"/>
      </w:numPr>
      <w:spacing w:before="360" w:line="240" w:lineRule="auto"/>
      <w:ind w:left="720" w:hanging="720"/>
      <w:outlineLvl w:val="1"/>
    </w:pPr>
    <w:rPr>
      <w:rFonts w:eastAsiaTheme="majorEastAsia" w:cs="Arial"/>
      <w:b/>
      <w:bCs/>
      <w:sz w:val="28"/>
      <w:szCs w:val="26"/>
    </w:rPr>
  </w:style>
  <w:style w:type="paragraph" w:styleId="Heading3">
    <w:name w:val="heading 3"/>
    <w:basedOn w:val="Normal"/>
    <w:next w:val="Normal"/>
    <w:link w:val="Heading3Char"/>
    <w:qFormat/>
    <w:rsid w:val="00491CFA"/>
    <w:pPr>
      <w:keepNext/>
      <w:spacing w:before="320" w:after="160" w:line="240" w:lineRule="auto"/>
      <w:outlineLvl w:val="2"/>
    </w:pPr>
    <w:rPr>
      <w:rFonts w:eastAsiaTheme="majorEastAsia" w:cs="Arial"/>
      <w:b/>
      <w:bCs/>
      <w:sz w:val="24"/>
    </w:rPr>
  </w:style>
  <w:style w:type="paragraph" w:styleId="Heading4">
    <w:name w:val="heading 4"/>
    <w:basedOn w:val="Normal"/>
    <w:next w:val="Normal"/>
    <w:link w:val="Heading4Char"/>
    <w:qFormat/>
    <w:rsid w:val="007062C1"/>
    <w:pPr>
      <w:keepNext/>
      <w:spacing w:before="360" w:after="120" w:line="240" w:lineRule="auto"/>
      <w:outlineLvl w:val="3"/>
    </w:pPr>
    <w:rPr>
      <w:rFonts w:eastAsiaTheme="majorEastAsia" w:cs="Arial"/>
      <w:b/>
      <w:bCs/>
      <w:i/>
      <w:iCs/>
    </w:rPr>
  </w:style>
  <w:style w:type="paragraph" w:styleId="Heading5">
    <w:name w:val="heading 5"/>
    <w:basedOn w:val="Normal"/>
    <w:next w:val="Normal"/>
    <w:link w:val="Heading5Char"/>
    <w:qFormat/>
    <w:rsid w:val="00A10945"/>
    <w:pPr>
      <w:keepNext/>
      <w:keepLines/>
      <w:spacing w:before="240" w:after="120" w:line="240" w:lineRule="auto"/>
      <w:outlineLvl w:val="4"/>
    </w:pPr>
    <w:rPr>
      <w:rFonts w:eastAsiaTheme="majorEastAsia" w:cstheme="majorBidi"/>
      <w:u w:val="single"/>
    </w:rPr>
  </w:style>
  <w:style w:type="paragraph" w:styleId="Heading6">
    <w:name w:val="heading 6"/>
    <w:basedOn w:val="Normal"/>
    <w:next w:val="Normal"/>
    <w:link w:val="Heading6Char"/>
    <w:uiPriority w:val="9"/>
    <w:semiHidden/>
    <w:unhideWhenUsed/>
    <w:rsid w:val="004C4985"/>
    <w:pPr>
      <w:keepNext/>
      <w:keepLines/>
      <w:numPr>
        <w:ilvl w:val="5"/>
        <w:numId w:val="5"/>
      </w:numPr>
      <w:spacing w:before="200" w:after="0"/>
      <w:outlineLvl w:val="5"/>
    </w:pPr>
    <w:rPr>
      <w:rFonts w:asciiTheme="majorHAnsi" w:eastAsiaTheme="majorEastAsia" w:hAnsiTheme="majorHAnsi" w:cstheme="majorBidi"/>
      <w:i/>
      <w:iCs/>
      <w:color w:val="0A193A" w:themeColor="accent1" w:themeShade="7F"/>
    </w:rPr>
  </w:style>
  <w:style w:type="paragraph" w:styleId="Heading7">
    <w:name w:val="heading 7"/>
    <w:basedOn w:val="Heading1"/>
    <w:next w:val="Normal"/>
    <w:link w:val="Heading7Char"/>
    <w:uiPriority w:val="9"/>
    <w:unhideWhenUsed/>
    <w:qFormat/>
    <w:rsid w:val="00D02929"/>
    <w:pPr>
      <w:pageBreakBefore/>
      <w:numPr>
        <w:numId w:val="12"/>
      </w:numPr>
      <w:outlineLvl w:val="6"/>
    </w:pPr>
  </w:style>
  <w:style w:type="paragraph" w:styleId="Heading8">
    <w:name w:val="heading 8"/>
    <w:basedOn w:val="Normal"/>
    <w:next w:val="Normal"/>
    <w:link w:val="Heading8Char"/>
    <w:uiPriority w:val="9"/>
    <w:semiHidden/>
    <w:unhideWhenUsed/>
    <w:qFormat/>
    <w:rsid w:val="004C4985"/>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C4985"/>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7D24"/>
    <w:pPr>
      <w:pBdr>
        <w:top w:val="single" w:sz="4" w:space="3" w:color="0C2E86"/>
      </w:pBdr>
      <w:tabs>
        <w:tab w:val="center" w:pos="4680"/>
        <w:tab w:val="right" w:pos="9360"/>
      </w:tabs>
      <w:spacing w:after="0" w:line="240" w:lineRule="auto"/>
    </w:pPr>
    <w:rPr>
      <w:noProof/>
      <w:sz w:val="18"/>
    </w:rPr>
  </w:style>
  <w:style w:type="character" w:customStyle="1" w:styleId="FooterChar">
    <w:name w:val="Footer Char"/>
    <w:basedOn w:val="DefaultParagraphFont"/>
    <w:link w:val="Footer"/>
    <w:rsid w:val="009309C5"/>
    <w:rPr>
      <w:rFonts w:ascii="Calibri" w:hAnsi="Calibri"/>
      <w:noProof/>
      <w:sz w:val="18"/>
    </w:rPr>
  </w:style>
  <w:style w:type="paragraph" w:styleId="BalloonText">
    <w:name w:val="Balloon Text"/>
    <w:basedOn w:val="Normal"/>
    <w:link w:val="BalloonTextChar"/>
    <w:uiPriority w:val="99"/>
    <w:semiHidden/>
    <w:unhideWhenUsed/>
    <w:rsid w:val="00344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8E"/>
    <w:rPr>
      <w:rFonts w:ascii="Tahoma" w:hAnsi="Tahoma" w:cs="Tahoma"/>
      <w:sz w:val="16"/>
      <w:szCs w:val="16"/>
    </w:rPr>
  </w:style>
  <w:style w:type="paragraph" w:customStyle="1" w:styleId="BulletList2">
    <w:name w:val="Bullet List 2"/>
    <w:basedOn w:val="ListParagraph"/>
    <w:link w:val="BulletList2Char"/>
    <w:qFormat/>
    <w:rsid w:val="00FF2126"/>
    <w:pPr>
      <w:numPr>
        <w:numId w:val="8"/>
      </w:numPr>
      <w:ind w:left="1440"/>
    </w:pPr>
  </w:style>
  <w:style w:type="paragraph" w:customStyle="1" w:styleId="BulletList3">
    <w:name w:val="Bullet List 3"/>
    <w:basedOn w:val="BulletList2"/>
    <w:link w:val="BulletList3Char"/>
    <w:qFormat/>
    <w:rsid w:val="00FF2126"/>
    <w:pPr>
      <w:numPr>
        <w:numId w:val="4"/>
      </w:numPr>
    </w:pPr>
  </w:style>
  <w:style w:type="paragraph" w:customStyle="1" w:styleId="Footnote">
    <w:name w:val="Footnote"/>
    <w:basedOn w:val="Normal"/>
    <w:link w:val="FootnoteChar"/>
    <w:qFormat/>
    <w:rsid w:val="006D2E86"/>
    <w:pPr>
      <w:spacing w:after="40" w:line="240" w:lineRule="auto"/>
      <w:ind w:left="130" w:hanging="130"/>
    </w:pPr>
    <w:rPr>
      <w:rFonts w:cs="Arial"/>
      <w:color w:val="000000" w:themeColor="text1"/>
      <w:sz w:val="18"/>
      <w:szCs w:val="16"/>
    </w:rPr>
  </w:style>
  <w:style w:type="character" w:customStyle="1" w:styleId="FootnoteChar">
    <w:name w:val="Footnote Char"/>
    <w:basedOn w:val="DefaultParagraphFont"/>
    <w:link w:val="Footnote"/>
    <w:rsid w:val="00430FA6"/>
    <w:rPr>
      <w:rFonts w:ascii="Calibri" w:hAnsi="Calibri" w:cs="Arial"/>
      <w:color w:val="000000" w:themeColor="text1"/>
      <w:sz w:val="18"/>
      <w:szCs w:val="16"/>
    </w:rPr>
  </w:style>
  <w:style w:type="character" w:customStyle="1" w:styleId="Heading1Char">
    <w:name w:val="Heading 1 Char"/>
    <w:basedOn w:val="DefaultParagraphFont"/>
    <w:link w:val="Heading1"/>
    <w:rsid w:val="00C91147"/>
    <w:rPr>
      <w:rFonts w:ascii="Calibri" w:eastAsiaTheme="majorEastAsia" w:hAnsi="Calibri" w:cstheme="majorBidi"/>
      <w:b/>
      <w:smallCaps/>
      <w:kern w:val="28"/>
      <w:sz w:val="40"/>
      <w:szCs w:val="20"/>
    </w:rPr>
  </w:style>
  <w:style w:type="paragraph" w:styleId="TOCHeading">
    <w:name w:val="TOC Heading"/>
    <w:basedOn w:val="Heading1"/>
    <w:next w:val="Normal"/>
    <w:link w:val="TOCHeadingChar"/>
    <w:uiPriority w:val="2"/>
    <w:qFormat/>
    <w:rsid w:val="003C6EEC"/>
    <w:pPr>
      <w:numPr>
        <w:numId w:val="0"/>
      </w:numPr>
      <w:spacing w:after="0"/>
      <w:outlineLvl w:val="9"/>
    </w:pPr>
    <w:rPr>
      <w:rFonts w:cs="Arial"/>
      <w:spacing w:val="20"/>
      <w:lang w:eastAsia="ja-JP"/>
    </w:rPr>
  </w:style>
  <w:style w:type="character" w:customStyle="1" w:styleId="ListParagraphChar">
    <w:name w:val="List Paragraph Char"/>
    <w:aliases w:val="Bullet List 1 Char"/>
    <w:basedOn w:val="DefaultParagraphFont"/>
    <w:link w:val="ListParagraph"/>
    <w:rsid w:val="00430FA6"/>
    <w:rPr>
      <w:rFonts w:ascii="Calibri" w:hAnsi="Calibri"/>
    </w:rPr>
  </w:style>
  <w:style w:type="character" w:customStyle="1" w:styleId="BulletList2Char">
    <w:name w:val="Bullet List 2 Char"/>
    <w:basedOn w:val="ListParagraphChar"/>
    <w:link w:val="BulletList2"/>
    <w:rsid w:val="00430FA6"/>
    <w:rPr>
      <w:rFonts w:ascii="Calibri" w:hAnsi="Calibri"/>
    </w:rPr>
  </w:style>
  <w:style w:type="paragraph" w:customStyle="1" w:styleId="TableText">
    <w:name w:val="Table Text"/>
    <w:basedOn w:val="Normal"/>
    <w:link w:val="TableTextChar"/>
    <w:qFormat/>
    <w:rsid w:val="009A17D8"/>
    <w:pPr>
      <w:spacing w:before="100" w:beforeAutospacing="1" w:after="100" w:afterAutospacing="1" w:line="240" w:lineRule="auto"/>
    </w:pPr>
    <w:rPr>
      <w:rFonts w:ascii="Arial" w:hAnsi="Arial"/>
      <w:color w:val="000000" w:themeColor="text1"/>
      <w:sz w:val="18"/>
    </w:rPr>
  </w:style>
  <w:style w:type="character" w:customStyle="1" w:styleId="TableTextChar">
    <w:name w:val="Table Text Char"/>
    <w:basedOn w:val="DefaultParagraphFont"/>
    <w:link w:val="TableText"/>
    <w:rsid w:val="00430FA6"/>
    <w:rPr>
      <w:rFonts w:ascii="Arial" w:hAnsi="Arial"/>
      <w:color w:val="000000" w:themeColor="text1"/>
      <w:sz w:val="18"/>
    </w:rPr>
  </w:style>
  <w:style w:type="paragraph" w:customStyle="1" w:styleId="Figure-Caption">
    <w:name w:val="Figure - Caption"/>
    <w:basedOn w:val="Caption"/>
    <w:link w:val="Figure-CaptionChar"/>
    <w:qFormat/>
    <w:rsid w:val="00A31A8F"/>
    <w:pPr>
      <w:keepNext/>
      <w:spacing w:before="360" w:after="60" w:line="240" w:lineRule="auto"/>
    </w:pPr>
    <w:rPr>
      <w:rFonts w:eastAsia="Times New Roman" w:cs="Arial"/>
      <w:bCs w:val="0"/>
      <w:color w:val="595959" w:themeColor="text1" w:themeTint="A6"/>
      <w:sz w:val="20"/>
      <w:szCs w:val="20"/>
    </w:rPr>
  </w:style>
  <w:style w:type="character" w:customStyle="1" w:styleId="Figure-CaptionChar">
    <w:name w:val="Figure - Caption Char"/>
    <w:basedOn w:val="DefaultParagraphFont"/>
    <w:link w:val="Figure-Caption"/>
    <w:rsid w:val="00A31A8F"/>
    <w:rPr>
      <w:rFonts w:ascii="Calibri" w:eastAsia="Times New Roman" w:hAnsi="Calibri" w:cs="Arial"/>
      <w:b/>
      <w:color w:val="595959" w:themeColor="text1" w:themeTint="A6"/>
      <w:sz w:val="20"/>
      <w:szCs w:val="20"/>
    </w:rPr>
  </w:style>
  <w:style w:type="paragraph" w:styleId="Caption">
    <w:name w:val="caption"/>
    <w:basedOn w:val="Normal"/>
    <w:next w:val="Normal"/>
    <w:uiPriority w:val="35"/>
    <w:unhideWhenUsed/>
    <w:qFormat/>
    <w:rsid w:val="003C0E43"/>
    <w:rPr>
      <w:b/>
      <w:bCs/>
      <w:color w:val="143376" w:themeColor="accent1"/>
      <w:sz w:val="18"/>
      <w:szCs w:val="18"/>
    </w:rPr>
  </w:style>
  <w:style w:type="character" w:customStyle="1" w:styleId="Heading2Char">
    <w:name w:val="Heading 2 Char"/>
    <w:basedOn w:val="DefaultParagraphFont"/>
    <w:link w:val="Heading2"/>
    <w:rsid w:val="00985012"/>
    <w:rPr>
      <w:rFonts w:ascii="Calibri" w:eastAsiaTheme="majorEastAsia" w:hAnsi="Calibri" w:cs="Arial"/>
      <w:b/>
      <w:bCs/>
      <w:sz w:val="28"/>
      <w:szCs w:val="26"/>
    </w:rPr>
  </w:style>
  <w:style w:type="character" w:customStyle="1" w:styleId="Heading3Char">
    <w:name w:val="Heading 3 Char"/>
    <w:basedOn w:val="DefaultParagraphFont"/>
    <w:link w:val="Heading3"/>
    <w:rsid w:val="00491CFA"/>
    <w:rPr>
      <w:rFonts w:ascii="Calibri" w:eastAsiaTheme="majorEastAsia" w:hAnsi="Calibri" w:cs="Arial"/>
      <w:b/>
      <w:bCs/>
      <w:sz w:val="24"/>
    </w:rPr>
  </w:style>
  <w:style w:type="character" w:customStyle="1" w:styleId="Heading4Char">
    <w:name w:val="Heading 4 Char"/>
    <w:basedOn w:val="DefaultParagraphFont"/>
    <w:link w:val="Heading4"/>
    <w:rsid w:val="005C5DD4"/>
    <w:rPr>
      <w:rFonts w:ascii="Calibri" w:eastAsiaTheme="majorEastAsia" w:hAnsi="Calibri" w:cs="Arial"/>
      <w:b/>
      <w:bCs/>
      <w:i/>
      <w:iCs/>
    </w:rPr>
  </w:style>
  <w:style w:type="paragraph" w:styleId="TOC1">
    <w:name w:val="toc 1"/>
    <w:basedOn w:val="Normal"/>
    <w:next w:val="Normal"/>
    <w:autoRedefine/>
    <w:uiPriority w:val="39"/>
    <w:qFormat/>
    <w:rsid w:val="004C15FC"/>
    <w:pPr>
      <w:tabs>
        <w:tab w:val="right" w:leader="dot" w:pos="9360"/>
      </w:tabs>
      <w:spacing w:before="360" w:after="0" w:line="240" w:lineRule="auto"/>
      <w:ind w:left="547" w:hanging="547"/>
    </w:pPr>
    <w:rPr>
      <w:rFonts w:cs="Arial"/>
      <w:b/>
      <w:smallCaps/>
      <w:noProof/>
      <w:sz w:val="28"/>
      <w:szCs w:val="28"/>
    </w:rPr>
  </w:style>
  <w:style w:type="paragraph" w:styleId="TOC2">
    <w:name w:val="toc 2"/>
    <w:basedOn w:val="Normal"/>
    <w:next w:val="Normal"/>
    <w:autoRedefine/>
    <w:uiPriority w:val="39"/>
    <w:qFormat/>
    <w:rsid w:val="004C15FC"/>
    <w:pPr>
      <w:tabs>
        <w:tab w:val="left" w:leader="dot" w:pos="1320"/>
        <w:tab w:val="right" w:leader="dot" w:pos="9350"/>
      </w:tabs>
      <w:spacing w:before="120" w:after="120" w:line="240" w:lineRule="auto"/>
      <w:ind w:left="1080" w:hanging="540"/>
    </w:pPr>
    <w:rPr>
      <w:b/>
    </w:rPr>
  </w:style>
  <w:style w:type="paragraph" w:styleId="TOC3">
    <w:name w:val="toc 3"/>
    <w:basedOn w:val="Normal"/>
    <w:next w:val="Normal"/>
    <w:autoRedefine/>
    <w:uiPriority w:val="39"/>
    <w:qFormat/>
    <w:rsid w:val="003C6EEC"/>
    <w:pPr>
      <w:tabs>
        <w:tab w:val="right" w:leader="dot" w:pos="9350"/>
      </w:tabs>
      <w:spacing w:before="120" w:after="120" w:line="240" w:lineRule="auto"/>
      <w:ind w:left="1080"/>
    </w:pPr>
  </w:style>
  <w:style w:type="character" w:customStyle="1" w:styleId="BulletList3Char">
    <w:name w:val="Bullet List 3 Char"/>
    <w:basedOn w:val="BulletList2Char"/>
    <w:link w:val="BulletList3"/>
    <w:rsid w:val="00430FA6"/>
    <w:rPr>
      <w:rFonts w:ascii="Calibri" w:hAnsi="Calibri"/>
    </w:rPr>
  </w:style>
  <w:style w:type="table" w:styleId="LightList-Accent1">
    <w:name w:val="Light List Accent 1"/>
    <w:basedOn w:val="TableNormal"/>
    <w:uiPriority w:val="61"/>
    <w:rsid w:val="00016FC4"/>
    <w:pPr>
      <w:spacing w:after="0" w:line="240" w:lineRule="auto"/>
    </w:pPr>
    <w:tblPr>
      <w:tblStyleRowBandSize w:val="1"/>
      <w:tblStyleColBandSize w:val="1"/>
      <w:tblBorders>
        <w:top w:val="single" w:sz="8" w:space="0" w:color="143376" w:themeColor="accent1"/>
        <w:left w:val="single" w:sz="8" w:space="0" w:color="143376" w:themeColor="accent1"/>
        <w:bottom w:val="single" w:sz="8" w:space="0" w:color="143376" w:themeColor="accent1"/>
        <w:right w:val="single" w:sz="8" w:space="0" w:color="143376" w:themeColor="accent1"/>
      </w:tblBorders>
    </w:tblPr>
    <w:tblStylePr w:type="firstRow">
      <w:pPr>
        <w:spacing w:before="0" w:after="0" w:line="240" w:lineRule="auto"/>
      </w:pPr>
      <w:rPr>
        <w:b/>
        <w:bCs/>
        <w:color w:val="FFFFFF" w:themeColor="background1"/>
      </w:rPr>
      <w:tblPr/>
      <w:tcPr>
        <w:shd w:val="clear" w:color="auto" w:fill="143376" w:themeFill="accent1"/>
      </w:tcPr>
    </w:tblStylePr>
    <w:tblStylePr w:type="lastRow">
      <w:pPr>
        <w:spacing w:before="0" w:after="0" w:line="240" w:lineRule="auto"/>
      </w:pPr>
      <w:rPr>
        <w:b/>
        <w:bCs/>
      </w:rPr>
      <w:tblPr/>
      <w:tcPr>
        <w:tcBorders>
          <w:top w:val="double" w:sz="6" w:space="0" w:color="143376" w:themeColor="accent1"/>
          <w:left w:val="single" w:sz="8" w:space="0" w:color="143376" w:themeColor="accent1"/>
          <w:bottom w:val="single" w:sz="8" w:space="0" w:color="143376" w:themeColor="accent1"/>
          <w:right w:val="single" w:sz="8" w:space="0" w:color="143376" w:themeColor="accent1"/>
        </w:tcBorders>
      </w:tcPr>
    </w:tblStylePr>
    <w:tblStylePr w:type="firstCol">
      <w:rPr>
        <w:b/>
        <w:bCs/>
      </w:rPr>
    </w:tblStylePr>
    <w:tblStylePr w:type="lastCol">
      <w:rPr>
        <w:b/>
        <w:bCs/>
      </w:rPr>
    </w:tblStylePr>
    <w:tblStylePr w:type="band1Vert">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tblStylePr w:type="band1Horz">
      <w:tblPr/>
      <w:tcPr>
        <w:tcBorders>
          <w:top w:val="single" w:sz="8" w:space="0" w:color="143376" w:themeColor="accent1"/>
          <w:left w:val="single" w:sz="8" w:space="0" w:color="143376" w:themeColor="accent1"/>
          <w:bottom w:val="single" w:sz="8" w:space="0" w:color="143376" w:themeColor="accent1"/>
          <w:right w:val="single" w:sz="8" w:space="0" w:color="143376" w:themeColor="accent1"/>
        </w:tcBorders>
      </w:tcPr>
    </w:tblStylePr>
  </w:style>
  <w:style w:type="paragraph" w:styleId="ListParagraph">
    <w:name w:val="List Paragraph"/>
    <w:aliases w:val="Bullet List 1"/>
    <w:basedOn w:val="Normal"/>
    <w:link w:val="ListParagraphChar"/>
    <w:uiPriority w:val="34"/>
    <w:qFormat/>
    <w:rsid w:val="00FF2126"/>
    <w:pPr>
      <w:numPr>
        <w:numId w:val="3"/>
      </w:numPr>
      <w:spacing w:line="240" w:lineRule="auto"/>
      <w:ind w:left="720" w:right="720"/>
    </w:pPr>
  </w:style>
  <w:style w:type="character" w:customStyle="1" w:styleId="TOCHeadingChar">
    <w:name w:val="TOC Heading Char"/>
    <w:basedOn w:val="Heading1Char"/>
    <w:link w:val="TOCHeading"/>
    <w:uiPriority w:val="2"/>
    <w:rsid w:val="00FE64A5"/>
    <w:rPr>
      <w:rFonts w:ascii="Calibri" w:eastAsiaTheme="majorEastAsia" w:hAnsi="Calibri" w:cs="Arial"/>
      <w:b/>
      <w:smallCaps/>
      <w:spacing w:val="20"/>
      <w:kern w:val="28"/>
      <w:sz w:val="36"/>
      <w:szCs w:val="20"/>
      <w:lang w:eastAsia="ja-JP"/>
    </w:rPr>
  </w:style>
  <w:style w:type="character" w:customStyle="1" w:styleId="Heading5Char">
    <w:name w:val="Heading 5 Char"/>
    <w:basedOn w:val="DefaultParagraphFont"/>
    <w:link w:val="Heading5"/>
    <w:rsid w:val="00A10945"/>
    <w:rPr>
      <w:rFonts w:ascii="Calibri" w:eastAsiaTheme="majorEastAsia" w:hAnsi="Calibri" w:cstheme="majorBidi"/>
      <w:u w:val="single"/>
    </w:rPr>
  </w:style>
  <w:style w:type="character" w:customStyle="1" w:styleId="Heading6Char">
    <w:name w:val="Heading 6 Char"/>
    <w:basedOn w:val="DefaultParagraphFont"/>
    <w:link w:val="Heading6"/>
    <w:uiPriority w:val="9"/>
    <w:semiHidden/>
    <w:rsid w:val="004C4985"/>
    <w:rPr>
      <w:rFonts w:asciiTheme="majorHAnsi" w:eastAsiaTheme="majorEastAsia" w:hAnsiTheme="majorHAnsi" w:cstheme="majorBidi"/>
      <w:i/>
      <w:iCs/>
      <w:color w:val="0A193A" w:themeColor="accent1" w:themeShade="7F"/>
    </w:rPr>
  </w:style>
  <w:style w:type="character" w:customStyle="1" w:styleId="Heading7Char">
    <w:name w:val="Heading 7 Char"/>
    <w:basedOn w:val="DefaultParagraphFont"/>
    <w:link w:val="Heading7"/>
    <w:uiPriority w:val="9"/>
    <w:rsid w:val="00D02929"/>
    <w:rPr>
      <w:rFonts w:ascii="Calibri" w:eastAsiaTheme="majorEastAsia" w:hAnsi="Calibri" w:cstheme="majorBidi"/>
      <w:b/>
      <w:smallCaps/>
      <w:kern w:val="28"/>
      <w:sz w:val="40"/>
      <w:szCs w:val="20"/>
    </w:rPr>
  </w:style>
  <w:style w:type="character" w:customStyle="1" w:styleId="Heading8Char">
    <w:name w:val="Heading 8 Char"/>
    <w:basedOn w:val="DefaultParagraphFont"/>
    <w:link w:val="Heading8"/>
    <w:uiPriority w:val="9"/>
    <w:semiHidden/>
    <w:rsid w:val="004C498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4C4985"/>
    <w:rPr>
      <w:rFonts w:asciiTheme="majorHAnsi" w:eastAsiaTheme="majorEastAsia" w:hAnsiTheme="majorHAnsi" w:cstheme="majorBidi"/>
      <w:i/>
      <w:iCs/>
      <w:color w:val="404040" w:themeColor="text1" w:themeTint="BF"/>
      <w:szCs w:val="20"/>
    </w:rPr>
  </w:style>
  <w:style w:type="paragraph" w:customStyle="1" w:styleId="CalloutBox">
    <w:name w:val="Call out Box"/>
    <w:basedOn w:val="Normal"/>
    <w:link w:val="CalloutBoxChar"/>
    <w:qFormat/>
    <w:rsid w:val="00FF2126"/>
    <w:pPr>
      <w:spacing w:after="0" w:line="240" w:lineRule="auto"/>
    </w:pPr>
    <w:rPr>
      <w:i/>
      <w:iCs/>
      <w:color w:val="3A3A3A"/>
      <w:sz w:val="20"/>
    </w:rPr>
  </w:style>
  <w:style w:type="paragraph" w:customStyle="1" w:styleId="Table-Caption">
    <w:name w:val="Table - Caption"/>
    <w:basedOn w:val="Figure-Caption"/>
    <w:link w:val="Table-CaptionChar"/>
    <w:qFormat/>
    <w:rsid w:val="00A31A8F"/>
  </w:style>
  <w:style w:type="character" w:customStyle="1" w:styleId="CalloutBoxChar">
    <w:name w:val="Call out Box Char"/>
    <w:basedOn w:val="DefaultParagraphFont"/>
    <w:link w:val="CalloutBox"/>
    <w:rsid w:val="00430FA6"/>
    <w:rPr>
      <w:rFonts w:ascii="Calibri" w:hAnsi="Calibri"/>
      <w:i/>
      <w:iCs/>
      <w:color w:val="3A3A3A"/>
      <w:sz w:val="20"/>
    </w:rPr>
  </w:style>
  <w:style w:type="character" w:customStyle="1" w:styleId="Table-CaptionChar">
    <w:name w:val="Table - Caption Char"/>
    <w:basedOn w:val="Figure-CaptionChar"/>
    <w:link w:val="Table-Caption"/>
    <w:rsid w:val="00A31A8F"/>
    <w:rPr>
      <w:rFonts w:ascii="Calibri" w:eastAsia="Times New Roman" w:hAnsi="Calibri" w:cs="Arial"/>
      <w:b/>
      <w:color w:val="595959" w:themeColor="text1" w:themeTint="A6"/>
      <w:sz w:val="20"/>
      <w:szCs w:val="20"/>
    </w:rPr>
  </w:style>
  <w:style w:type="paragraph" w:customStyle="1" w:styleId="Figure-Source">
    <w:name w:val="Figure - Source"/>
    <w:basedOn w:val="Table-Caption"/>
    <w:link w:val="Figure-SourceChar"/>
    <w:qFormat/>
    <w:rsid w:val="00D330DC"/>
    <w:pPr>
      <w:keepNext w:val="0"/>
      <w:spacing w:before="60" w:after="480"/>
    </w:pPr>
    <w:rPr>
      <w:b w:val="0"/>
      <w:i/>
      <w:sz w:val="18"/>
    </w:rPr>
  </w:style>
  <w:style w:type="paragraph" w:customStyle="1" w:styleId="Table-Source">
    <w:name w:val="Table - Source"/>
    <w:basedOn w:val="Figure-Source"/>
    <w:link w:val="Table-SourceChar"/>
    <w:qFormat/>
    <w:rsid w:val="00D330DC"/>
    <w:rPr>
      <w:rFonts w:asciiTheme="minorHAnsi" w:hAnsiTheme="minorHAnsi"/>
    </w:rPr>
  </w:style>
  <w:style w:type="character" w:customStyle="1" w:styleId="Figure-SourceChar">
    <w:name w:val="Figure - Source Char"/>
    <w:basedOn w:val="Table-CaptionChar"/>
    <w:link w:val="Figure-Source"/>
    <w:rsid w:val="00430FA6"/>
    <w:rPr>
      <w:rFonts w:ascii="Calibri" w:eastAsia="Times New Roman" w:hAnsi="Calibri" w:cs="Arial"/>
      <w:b w:val="0"/>
      <w:i/>
      <w:color w:val="2D3991"/>
      <w:sz w:val="18"/>
      <w:szCs w:val="20"/>
    </w:rPr>
  </w:style>
  <w:style w:type="paragraph" w:customStyle="1" w:styleId="Reference">
    <w:name w:val="Reference"/>
    <w:basedOn w:val="Normal"/>
    <w:link w:val="ReferenceChar"/>
    <w:qFormat/>
    <w:rsid w:val="00F57A0C"/>
    <w:pPr>
      <w:spacing w:after="120" w:line="240" w:lineRule="auto"/>
      <w:ind w:left="130" w:hanging="130"/>
    </w:pPr>
    <w:rPr>
      <w:sz w:val="20"/>
    </w:rPr>
  </w:style>
  <w:style w:type="character" w:customStyle="1" w:styleId="Table-SourceChar">
    <w:name w:val="Table - Source Char"/>
    <w:basedOn w:val="Figure-SourceChar"/>
    <w:link w:val="Table-Source"/>
    <w:rsid w:val="00430FA6"/>
    <w:rPr>
      <w:rFonts w:asciiTheme="minorHAnsi" w:eastAsia="Times New Roman" w:hAnsiTheme="minorHAnsi" w:cs="Arial"/>
      <w:b w:val="0"/>
      <w:i/>
      <w:color w:val="2D3991"/>
      <w:sz w:val="18"/>
      <w:szCs w:val="20"/>
    </w:rPr>
  </w:style>
  <w:style w:type="character" w:customStyle="1" w:styleId="ReferenceChar">
    <w:name w:val="Reference Char"/>
    <w:basedOn w:val="DefaultParagraphFont"/>
    <w:link w:val="Reference"/>
    <w:rsid w:val="00430FA6"/>
    <w:rPr>
      <w:rFonts w:ascii="Calibri" w:hAnsi="Calibri"/>
      <w:sz w:val="20"/>
    </w:rPr>
  </w:style>
  <w:style w:type="paragraph" w:styleId="BodyText">
    <w:name w:val="Body Text"/>
    <w:basedOn w:val="Normal"/>
    <w:link w:val="BodyTextChar"/>
    <w:uiPriority w:val="99"/>
    <w:unhideWhenUsed/>
    <w:rsid w:val="00DF217F"/>
    <w:pPr>
      <w:spacing w:after="120"/>
    </w:pPr>
  </w:style>
  <w:style w:type="character" w:customStyle="1" w:styleId="BodyTextChar">
    <w:name w:val="Body Text Char"/>
    <w:basedOn w:val="DefaultParagraphFont"/>
    <w:link w:val="BodyText"/>
    <w:uiPriority w:val="99"/>
    <w:rsid w:val="00DF217F"/>
  </w:style>
  <w:style w:type="paragraph" w:styleId="FootnoteText">
    <w:name w:val="footnote text"/>
    <w:basedOn w:val="Normal"/>
    <w:link w:val="FootnoteTextChar"/>
    <w:uiPriority w:val="99"/>
    <w:unhideWhenUsed/>
    <w:rsid w:val="00714AB5"/>
    <w:pPr>
      <w:spacing w:after="0" w:line="240" w:lineRule="auto"/>
    </w:pPr>
    <w:rPr>
      <w:sz w:val="20"/>
      <w:szCs w:val="20"/>
    </w:rPr>
  </w:style>
  <w:style w:type="character" w:customStyle="1" w:styleId="FootnoteTextChar">
    <w:name w:val="Footnote Text Char"/>
    <w:basedOn w:val="DefaultParagraphFont"/>
    <w:link w:val="FootnoteText"/>
    <w:uiPriority w:val="99"/>
    <w:rsid w:val="00714AB5"/>
    <w:rPr>
      <w:sz w:val="20"/>
      <w:szCs w:val="20"/>
    </w:rPr>
  </w:style>
  <w:style w:type="character" w:styleId="FootnoteReference">
    <w:name w:val="footnote reference"/>
    <w:basedOn w:val="DefaultParagraphFont"/>
    <w:uiPriority w:val="99"/>
    <w:unhideWhenUsed/>
    <w:rsid w:val="00953C91"/>
    <w:rPr>
      <w:rFonts w:asciiTheme="minorHAnsi" w:hAnsiTheme="minorHAnsi"/>
      <w:sz w:val="24"/>
      <w:vertAlign w:val="superscript"/>
    </w:rPr>
  </w:style>
  <w:style w:type="paragraph" w:customStyle="1" w:styleId="Figure">
    <w:name w:val="Figure"/>
    <w:basedOn w:val="Normal"/>
    <w:link w:val="FigureChar"/>
    <w:qFormat/>
    <w:rsid w:val="00EB6A70"/>
    <w:pPr>
      <w:spacing w:after="0" w:line="240" w:lineRule="auto"/>
    </w:pPr>
  </w:style>
  <w:style w:type="paragraph" w:customStyle="1" w:styleId="BlockQuote">
    <w:name w:val="Block Quote"/>
    <w:basedOn w:val="Normal"/>
    <w:link w:val="BlockQuoteChar"/>
    <w:qFormat/>
    <w:rsid w:val="00491CFA"/>
    <w:pPr>
      <w:ind w:left="1080" w:right="1080"/>
    </w:pPr>
    <w:rPr>
      <w:sz w:val="20"/>
    </w:rPr>
  </w:style>
  <w:style w:type="character" w:customStyle="1" w:styleId="FigureChar">
    <w:name w:val="Figure Char"/>
    <w:basedOn w:val="DefaultParagraphFont"/>
    <w:link w:val="Figure"/>
    <w:rsid w:val="00430FA6"/>
    <w:rPr>
      <w:rFonts w:ascii="Calibri" w:hAnsi="Calibri"/>
    </w:rPr>
  </w:style>
  <w:style w:type="paragraph" w:styleId="Header">
    <w:name w:val="header"/>
    <w:basedOn w:val="Normal"/>
    <w:link w:val="HeaderChar"/>
    <w:uiPriority w:val="99"/>
    <w:unhideWhenUsed/>
    <w:rsid w:val="00BC793D"/>
    <w:pPr>
      <w:tabs>
        <w:tab w:val="center" w:pos="4680"/>
        <w:tab w:val="right" w:pos="9360"/>
      </w:tabs>
      <w:spacing w:after="0" w:line="240" w:lineRule="auto"/>
    </w:pPr>
  </w:style>
  <w:style w:type="character" w:customStyle="1" w:styleId="BlockQuoteChar">
    <w:name w:val="Block Quote Char"/>
    <w:basedOn w:val="DefaultParagraphFont"/>
    <w:link w:val="BlockQuote"/>
    <w:rsid w:val="009309C5"/>
    <w:rPr>
      <w:rFonts w:ascii="Calibri" w:hAnsi="Calibri"/>
      <w:sz w:val="20"/>
    </w:rPr>
  </w:style>
  <w:style w:type="character" w:customStyle="1" w:styleId="HeaderChar">
    <w:name w:val="Header Char"/>
    <w:basedOn w:val="DefaultParagraphFont"/>
    <w:link w:val="Header"/>
    <w:uiPriority w:val="99"/>
    <w:rsid w:val="00BC793D"/>
  </w:style>
  <w:style w:type="paragraph" w:customStyle="1" w:styleId="URL">
    <w:name w:val="URL"/>
    <w:basedOn w:val="Table-Source"/>
    <w:link w:val="URLChar"/>
    <w:uiPriority w:val="1"/>
    <w:rsid w:val="00813875"/>
    <w:pPr>
      <w:spacing w:before="0" w:after="120"/>
    </w:pPr>
    <w:rPr>
      <w:rFonts w:ascii="Times New Roman" w:hAnsi="Times New Roman" w:cs="Times New Roman"/>
      <w:i w:val="0"/>
      <w:sz w:val="20"/>
    </w:rPr>
  </w:style>
  <w:style w:type="paragraph" w:customStyle="1" w:styleId="Footnote100">
    <w:name w:val="Footnote +100"/>
    <w:basedOn w:val="Footnote10"/>
    <w:qFormat/>
    <w:rsid w:val="00D86646"/>
    <w:pPr>
      <w:ind w:left="302" w:hanging="302"/>
    </w:pPr>
  </w:style>
  <w:style w:type="character" w:customStyle="1" w:styleId="URLChar">
    <w:name w:val="URL Char"/>
    <w:basedOn w:val="Table-SourceChar"/>
    <w:link w:val="URL"/>
    <w:uiPriority w:val="1"/>
    <w:rsid w:val="00FE64A5"/>
    <w:rPr>
      <w:rFonts w:ascii="Times New Roman" w:eastAsia="Times New Roman" w:hAnsi="Times New Roman" w:cs="Times New Roman"/>
      <w:b w:val="0"/>
      <w:i w:val="0"/>
      <w:smallCaps w:val="0"/>
      <w:color w:val="2D3991"/>
      <w:sz w:val="20"/>
      <w:szCs w:val="20"/>
    </w:rPr>
  </w:style>
  <w:style w:type="character" w:styleId="FollowedHyperlink">
    <w:name w:val="FollowedHyperlink"/>
    <w:basedOn w:val="DefaultParagraphFont"/>
    <w:uiPriority w:val="99"/>
    <w:semiHidden/>
    <w:unhideWhenUsed/>
    <w:rsid w:val="007439B5"/>
    <w:rPr>
      <w:color w:val="595959" w:themeColor="followedHyperlink"/>
      <w:u w:val="single"/>
    </w:rPr>
  </w:style>
  <w:style w:type="numbering" w:customStyle="1" w:styleId="Headings">
    <w:name w:val="Headings"/>
    <w:uiPriority w:val="99"/>
    <w:rsid w:val="002A5CE1"/>
    <w:pPr>
      <w:numPr>
        <w:numId w:val="6"/>
      </w:numPr>
    </w:pPr>
  </w:style>
  <w:style w:type="paragraph" w:styleId="NoSpacing">
    <w:name w:val="No Spacing"/>
    <w:link w:val="NoSpacingChar"/>
    <w:qFormat/>
    <w:rsid w:val="000641B9"/>
    <w:pPr>
      <w:spacing w:after="0"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rsid w:val="00EB1786"/>
    <w:rPr>
      <w:rFonts w:asciiTheme="minorHAnsi" w:eastAsiaTheme="minorEastAsia" w:hAnsiTheme="minorHAnsi"/>
      <w:lang w:eastAsia="ja-JP"/>
    </w:rPr>
  </w:style>
  <w:style w:type="paragraph" w:customStyle="1" w:styleId="Default">
    <w:name w:val="Default"/>
    <w:link w:val="DefaultChar"/>
    <w:rsid w:val="00D26961"/>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CoverSubTitle"/>
    <w:next w:val="Normal"/>
    <w:link w:val="SubtitleChar"/>
    <w:uiPriority w:val="11"/>
    <w:unhideWhenUsed/>
    <w:rsid w:val="00AB4DDD"/>
    <w:pPr>
      <w:ind w:right="1080"/>
    </w:pPr>
  </w:style>
  <w:style w:type="paragraph" w:customStyle="1" w:styleId="Clientname">
    <w:name w:val="Client name"/>
    <w:basedOn w:val="CoverDate"/>
    <w:qFormat/>
    <w:rsid w:val="00AB4DDD"/>
    <w:rPr>
      <w:b/>
    </w:rPr>
  </w:style>
  <w:style w:type="paragraph" w:customStyle="1" w:styleId="Pa1">
    <w:name w:val="Pa1"/>
    <w:basedOn w:val="Default"/>
    <w:next w:val="Default"/>
    <w:link w:val="Pa1Char"/>
    <w:uiPriority w:val="99"/>
    <w:rsid w:val="00D26961"/>
    <w:pPr>
      <w:spacing w:line="241" w:lineRule="atLeast"/>
    </w:pPr>
    <w:rPr>
      <w:rFonts w:cstheme="minorBidi"/>
      <w:color w:val="auto"/>
    </w:rPr>
  </w:style>
  <w:style w:type="paragraph" w:customStyle="1" w:styleId="Footnote10">
    <w:name w:val="Footnote +10"/>
    <w:basedOn w:val="Footnote"/>
    <w:link w:val="Footnote10Char"/>
    <w:qFormat/>
    <w:rsid w:val="009A33F6"/>
    <w:pPr>
      <w:ind w:left="216" w:hanging="216"/>
    </w:pPr>
  </w:style>
  <w:style w:type="character" w:customStyle="1" w:styleId="Footnote10Char">
    <w:name w:val="Footnote +10 Char"/>
    <w:basedOn w:val="FootnoteChar"/>
    <w:link w:val="Footnote10"/>
    <w:rsid w:val="00430FA6"/>
    <w:rPr>
      <w:rFonts w:ascii="Calibri" w:hAnsi="Calibri" w:cs="Arial"/>
      <w:color w:val="000000" w:themeColor="text1"/>
      <w:sz w:val="18"/>
      <w:szCs w:val="16"/>
    </w:rPr>
  </w:style>
  <w:style w:type="paragraph" w:customStyle="1" w:styleId="CoverTitle">
    <w:name w:val="Cover Title"/>
    <w:link w:val="CoverTitleChar"/>
    <w:qFormat/>
    <w:rsid w:val="001C2F3E"/>
    <w:pPr>
      <w:spacing w:before="1080" w:after="280" w:line="680" w:lineRule="exact"/>
      <w:ind w:left="1627" w:right="1080"/>
    </w:pPr>
    <w:rPr>
      <w:rFonts w:ascii="Calibri" w:hAnsi="Calibri"/>
      <w:b/>
      <w:color w:val="2D3991"/>
      <w:sz w:val="50"/>
      <w:szCs w:val="50"/>
    </w:rPr>
  </w:style>
  <w:style w:type="paragraph" w:customStyle="1" w:styleId="CoverSubTitle">
    <w:name w:val="Cover SubTitle"/>
    <w:link w:val="CoverSubTitleChar"/>
    <w:qFormat/>
    <w:rsid w:val="009116CC"/>
    <w:pPr>
      <w:spacing w:after="240" w:line="480" w:lineRule="exact"/>
      <w:ind w:left="1627" w:right="1267"/>
    </w:pPr>
    <w:rPr>
      <w:rFonts w:ascii="Calibri" w:hAnsi="Calibri"/>
      <w:color w:val="555555"/>
      <w:sz w:val="34"/>
    </w:rPr>
  </w:style>
  <w:style w:type="character" w:customStyle="1" w:styleId="CoverTitleChar">
    <w:name w:val="Cover Title Char"/>
    <w:basedOn w:val="DefaultParagraphFont"/>
    <w:link w:val="CoverTitle"/>
    <w:rsid w:val="00430FA6"/>
    <w:rPr>
      <w:rFonts w:ascii="Calibri" w:hAnsi="Calibri"/>
      <w:b/>
      <w:color w:val="2D3991"/>
      <w:sz w:val="50"/>
      <w:szCs w:val="50"/>
    </w:rPr>
  </w:style>
  <w:style w:type="paragraph" w:customStyle="1" w:styleId="CoverDate">
    <w:name w:val="Cover Date"/>
    <w:link w:val="CoverDateChar"/>
    <w:qFormat/>
    <w:rsid w:val="00AB4DDD"/>
    <w:pPr>
      <w:spacing w:after="120" w:line="240" w:lineRule="auto"/>
      <w:ind w:left="1627" w:right="1267"/>
    </w:pPr>
    <w:rPr>
      <w:rFonts w:ascii="Calibri" w:hAnsi="Calibri"/>
      <w:bCs/>
      <w:color w:val="555555"/>
      <w:sz w:val="26"/>
    </w:rPr>
  </w:style>
  <w:style w:type="character" w:customStyle="1" w:styleId="CoverSubTitleChar">
    <w:name w:val="Cover SubTitle Char"/>
    <w:basedOn w:val="DefaultParagraphFont"/>
    <w:link w:val="CoverSubTitle"/>
    <w:rsid w:val="00430FA6"/>
    <w:rPr>
      <w:rFonts w:ascii="Calibri" w:hAnsi="Calibri"/>
      <w:color w:val="555555"/>
      <w:sz w:val="34"/>
    </w:rPr>
  </w:style>
  <w:style w:type="paragraph" w:customStyle="1" w:styleId="CoverAuthors">
    <w:name w:val="Cover Authors"/>
    <w:link w:val="CoverAuthorsChar"/>
    <w:qFormat/>
    <w:rsid w:val="00F049F4"/>
    <w:pPr>
      <w:tabs>
        <w:tab w:val="center" w:pos="5493"/>
      </w:tabs>
      <w:spacing w:after="0" w:line="320" w:lineRule="atLeast"/>
      <w:ind w:left="1627"/>
    </w:pPr>
    <w:rPr>
      <w:rFonts w:ascii="Calibri" w:hAnsi="Calibri"/>
      <w:color w:val="555555"/>
      <w:szCs w:val="24"/>
    </w:rPr>
  </w:style>
  <w:style w:type="character" w:customStyle="1" w:styleId="CoverDateChar">
    <w:name w:val="Cover Date Char"/>
    <w:basedOn w:val="DefaultParagraphFont"/>
    <w:link w:val="CoverDate"/>
    <w:rsid w:val="00AB4DDD"/>
    <w:rPr>
      <w:rFonts w:ascii="Calibri" w:hAnsi="Calibri"/>
      <w:bCs/>
      <w:color w:val="555555"/>
      <w:sz w:val="26"/>
    </w:rPr>
  </w:style>
  <w:style w:type="character" w:customStyle="1" w:styleId="DefaultChar">
    <w:name w:val="Default Char"/>
    <w:basedOn w:val="DefaultParagraphFont"/>
    <w:link w:val="Default"/>
    <w:rsid w:val="00345CCE"/>
    <w:rPr>
      <w:rFonts w:ascii="Calibri" w:hAnsi="Calibri" w:cs="Calibri"/>
      <w:color w:val="000000"/>
      <w:sz w:val="24"/>
      <w:szCs w:val="24"/>
    </w:rPr>
  </w:style>
  <w:style w:type="character" w:customStyle="1" w:styleId="Pa1Char">
    <w:name w:val="Pa1 Char"/>
    <w:basedOn w:val="DefaultChar"/>
    <w:link w:val="Pa1"/>
    <w:uiPriority w:val="99"/>
    <w:rsid w:val="00345CCE"/>
    <w:rPr>
      <w:rFonts w:ascii="Calibri" w:hAnsi="Calibri" w:cs="Calibri"/>
      <w:color w:val="000000"/>
      <w:sz w:val="24"/>
      <w:szCs w:val="24"/>
    </w:rPr>
  </w:style>
  <w:style w:type="character" w:customStyle="1" w:styleId="CoverAuthorsChar">
    <w:name w:val="Cover Authors Char"/>
    <w:basedOn w:val="Pa1Char"/>
    <w:link w:val="CoverAuthors"/>
    <w:rsid w:val="00F049F4"/>
    <w:rPr>
      <w:rFonts w:ascii="Calibri" w:hAnsi="Calibri" w:cs="Calibri"/>
      <w:color w:val="555555"/>
      <w:sz w:val="24"/>
      <w:szCs w:val="24"/>
    </w:rPr>
  </w:style>
  <w:style w:type="table" w:styleId="TableGrid">
    <w:name w:val="Table Grid"/>
    <w:basedOn w:val="TableNormal"/>
    <w:uiPriority w:val="39"/>
    <w:rsid w:val="00F4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qFormat/>
    <w:rsid w:val="005645A3"/>
    <w:pPr>
      <w:numPr>
        <w:numId w:val="9"/>
      </w:numPr>
      <w:spacing w:line="240" w:lineRule="auto"/>
      <w:ind w:right="720"/>
    </w:pPr>
    <w:rPr>
      <w:rFonts w:ascii="Calibri" w:eastAsiaTheme="majorEastAsia" w:hAnsi="Calibri" w:cstheme="majorBidi"/>
      <w:szCs w:val="20"/>
    </w:rPr>
  </w:style>
  <w:style w:type="paragraph" w:customStyle="1" w:styleId="NumberedList2">
    <w:name w:val="Numbered List 2"/>
    <w:basedOn w:val="NumberedList1"/>
    <w:qFormat/>
    <w:rsid w:val="005645A3"/>
    <w:pPr>
      <w:numPr>
        <w:numId w:val="10"/>
      </w:numPr>
    </w:pPr>
  </w:style>
  <w:style w:type="paragraph" w:customStyle="1" w:styleId="NumberedList3">
    <w:name w:val="Numbered List 3"/>
    <w:basedOn w:val="NumberedList2"/>
    <w:qFormat/>
    <w:rsid w:val="005645A3"/>
    <w:pPr>
      <w:numPr>
        <w:numId w:val="11"/>
      </w:numPr>
      <w:ind w:left="2016"/>
    </w:pPr>
  </w:style>
  <w:style w:type="paragraph" w:styleId="Title">
    <w:name w:val="Title"/>
    <w:basedOn w:val="CoverTitle"/>
    <w:next w:val="Normal"/>
    <w:link w:val="TitleChar"/>
    <w:uiPriority w:val="10"/>
    <w:rsid w:val="00AB4DDD"/>
  </w:style>
  <w:style w:type="character" w:customStyle="1" w:styleId="TitleChar">
    <w:name w:val="Title Char"/>
    <w:basedOn w:val="DefaultParagraphFont"/>
    <w:link w:val="Title"/>
    <w:uiPriority w:val="10"/>
    <w:rsid w:val="00AB4DDD"/>
    <w:rPr>
      <w:rFonts w:ascii="Calibri" w:hAnsi="Calibri"/>
      <w:b/>
      <w:color w:val="2D3991"/>
      <w:sz w:val="50"/>
      <w:szCs w:val="50"/>
    </w:rPr>
  </w:style>
  <w:style w:type="character" w:customStyle="1" w:styleId="SubtitleChar">
    <w:name w:val="Subtitle Char"/>
    <w:basedOn w:val="DefaultParagraphFont"/>
    <w:link w:val="Subtitle"/>
    <w:uiPriority w:val="11"/>
    <w:rsid w:val="00AB4DDD"/>
    <w:rPr>
      <w:rFonts w:ascii="Calibri" w:hAnsi="Calibri"/>
      <w:color w:val="555555"/>
      <w:sz w:val="34"/>
    </w:rPr>
  </w:style>
  <w:style w:type="character" w:styleId="CommentReference">
    <w:name w:val="annotation reference"/>
    <w:basedOn w:val="DefaultParagraphFont"/>
    <w:uiPriority w:val="99"/>
    <w:semiHidden/>
    <w:unhideWhenUsed/>
    <w:rsid w:val="0024044A"/>
    <w:rPr>
      <w:sz w:val="16"/>
      <w:szCs w:val="16"/>
    </w:rPr>
  </w:style>
  <w:style w:type="paragraph" w:styleId="CommentText">
    <w:name w:val="annotation text"/>
    <w:basedOn w:val="Normal"/>
    <w:link w:val="CommentTextChar"/>
    <w:uiPriority w:val="99"/>
    <w:unhideWhenUsed/>
    <w:rsid w:val="0024044A"/>
    <w:pPr>
      <w:spacing w:line="240" w:lineRule="auto"/>
    </w:pPr>
    <w:rPr>
      <w:sz w:val="20"/>
      <w:szCs w:val="20"/>
    </w:rPr>
  </w:style>
  <w:style w:type="character" w:customStyle="1" w:styleId="CommentTextChar">
    <w:name w:val="Comment Text Char"/>
    <w:basedOn w:val="DefaultParagraphFont"/>
    <w:link w:val="CommentText"/>
    <w:uiPriority w:val="99"/>
    <w:rsid w:val="0024044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24044A"/>
    <w:rPr>
      <w:b/>
      <w:bCs/>
    </w:rPr>
  </w:style>
  <w:style w:type="character" w:customStyle="1" w:styleId="CommentSubjectChar">
    <w:name w:val="Comment Subject Char"/>
    <w:basedOn w:val="CommentTextChar"/>
    <w:link w:val="CommentSubject"/>
    <w:uiPriority w:val="99"/>
    <w:semiHidden/>
    <w:rsid w:val="0024044A"/>
    <w:rPr>
      <w:rFonts w:ascii="Calibri" w:hAnsi="Calibri"/>
      <w:b/>
      <w:bCs/>
      <w:sz w:val="20"/>
      <w:szCs w:val="20"/>
    </w:rPr>
  </w:style>
  <w:style w:type="character" w:styleId="Hyperlink">
    <w:name w:val="Hyperlink"/>
    <w:basedOn w:val="DefaultParagraphFont"/>
    <w:uiPriority w:val="99"/>
    <w:unhideWhenUsed/>
    <w:rsid w:val="00AF6F7C"/>
    <w:rPr>
      <w:color w:val="000000" w:themeColor="hyperlink"/>
      <w:u w:val="single"/>
    </w:rPr>
  </w:style>
  <w:style w:type="paragraph" w:styleId="BodyText2">
    <w:name w:val="Body Text 2"/>
    <w:basedOn w:val="Normal"/>
    <w:link w:val="BodyText2Char"/>
    <w:uiPriority w:val="99"/>
    <w:unhideWhenUsed/>
    <w:rsid w:val="00126E1C"/>
    <w:pPr>
      <w:spacing w:after="120" w:line="480" w:lineRule="auto"/>
    </w:pPr>
  </w:style>
  <w:style w:type="character" w:customStyle="1" w:styleId="BodyText2Char">
    <w:name w:val="Body Text 2 Char"/>
    <w:basedOn w:val="DefaultParagraphFont"/>
    <w:link w:val="BodyText2"/>
    <w:uiPriority w:val="99"/>
    <w:rsid w:val="00126E1C"/>
    <w:rPr>
      <w:rFonts w:ascii="Calibri" w:hAnsi="Calibri"/>
    </w:rPr>
  </w:style>
  <w:style w:type="paragraph" w:styleId="BodyText3">
    <w:name w:val="Body Text 3"/>
    <w:basedOn w:val="Normal"/>
    <w:link w:val="BodyText3Char"/>
    <w:uiPriority w:val="99"/>
    <w:unhideWhenUsed/>
    <w:rsid w:val="00126E1C"/>
    <w:pPr>
      <w:spacing w:after="120"/>
    </w:pPr>
    <w:rPr>
      <w:sz w:val="16"/>
      <w:szCs w:val="16"/>
    </w:rPr>
  </w:style>
  <w:style w:type="character" w:customStyle="1" w:styleId="BodyText3Char">
    <w:name w:val="Body Text 3 Char"/>
    <w:basedOn w:val="DefaultParagraphFont"/>
    <w:link w:val="BodyText3"/>
    <w:uiPriority w:val="99"/>
    <w:rsid w:val="00126E1C"/>
    <w:rPr>
      <w:rFonts w:ascii="Calibri" w:hAnsi="Calibri"/>
      <w:sz w:val="16"/>
      <w:szCs w:val="16"/>
    </w:rPr>
  </w:style>
  <w:style w:type="paragraph" w:styleId="BlockText">
    <w:name w:val="Block Text"/>
    <w:basedOn w:val="Normal"/>
    <w:uiPriority w:val="99"/>
    <w:unhideWhenUsed/>
    <w:rsid w:val="00126E1C"/>
    <w:pPr>
      <w:pBdr>
        <w:top w:val="single" w:sz="2" w:space="10" w:color="143376" w:themeColor="accent1"/>
        <w:left w:val="single" w:sz="2" w:space="10" w:color="143376" w:themeColor="accent1"/>
        <w:bottom w:val="single" w:sz="2" w:space="10" w:color="143376" w:themeColor="accent1"/>
        <w:right w:val="single" w:sz="2" w:space="10" w:color="143376" w:themeColor="accent1"/>
      </w:pBdr>
      <w:ind w:left="1152" w:right="1152"/>
    </w:pPr>
    <w:rPr>
      <w:rFonts w:asciiTheme="minorHAnsi" w:eastAsiaTheme="minorEastAsia" w:hAnsiTheme="minorHAnsi"/>
      <w:i/>
      <w:iCs/>
      <w:color w:val="143376" w:themeColor="accent1"/>
    </w:rPr>
  </w:style>
  <w:style w:type="paragraph" w:styleId="Revision">
    <w:name w:val="Revision"/>
    <w:hidden/>
    <w:uiPriority w:val="99"/>
    <w:semiHidden/>
    <w:rsid w:val="00EC226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7713">
      <w:bodyDiv w:val="1"/>
      <w:marLeft w:val="0"/>
      <w:marRight w:val="0"/>
      <w:marTop w:val="0"/>
      <w:marBottom w:val="0"/>
      <w:divBdr>
        <w:top w:val="none" w:sz="0" w:space="0" w:color="auto"/>
        <w:left w:val="none" w:sz="0" w:space="0" w:color="auto"/>
        <w:bottom w:val="none" w:sz="0" w:space="0" w:color="auto"/>
        <w:right w:val="none" w:sz="0" w:space="0" w:color="auto"/>
      </w:divBdr>
    </w:div>
    <w:div w:id="468522605">
      <w:bodyDiv w:val="1"/>
      <w:marLeft w:val="0"/>
      <w:marRight w:val="0"/>
      <w:marTop w:val="0"/>
      <w:marBottom w:val="0"/>
      <w:divBdr>
        <w:top w:val="none" w:sz="0" w:space="0" w:color="auto"/>
        <w:left w:val="none" w:sz="0" w:space="0" w:color="auto"/>
        <w:bottom w:val="none" w:sz="0" w:space="0" w:color="auto"/>
        <w:right w:val="none" w:sz="0" w:space="0" w:color="auto"/>
      </w:divBdr>
    </w:div>
    <w:div w:id="482812554">
      <w:bodyDiv w:val="1"/>
      <w:marLeft w:val="0"/>
      <w:marRight w:val="0"/>
      <w:marTop w:val="0"/>
      <w:marBottom w:val="0"/>
      <w:divBdr>
        <w:top w:val="none" w:sz="0" w:space="0" w:color="auto"/>
        <w:left w:val="none" w:sz="0" w:space="0" w:color="auto"/>
        <w:bottom w:val="none" w:sz="0" w:space="0" w:color="auto"/>
        <w:right w:val="none" w:sz="0" w:space="0" w:color="auto"/>
      </w:divBdr>
    </w:div>
    <w:div w:id="1113594068">
      <w:bodyDiv w:val="1"/>
      <w:marLeft w:val="0"/>
      <w:marRight w:val="0"/>
      <w:marTop w:val="0"/>
      <w:marBottom w:val="0"/>
      <w:divBdr>
        <w:top w:val="none" w:sz="0" w:space="0" w:color="auto"/>
        <w:left w:val="none" w:sz="0" w:space="0" w:color="auto"/>
        <w:bottom w:val="none" w:sz="0" w:space="0" w:color="auto"/>
        <w:right w:val="none" w:sz="0" w:space="0" w:color="auto"/>
      </w:divBdr>
      <w:divsChild>
        <w:div w:id="1472557006">
          <w:marLeft w:val="446"/>
          <w:marRight w:val="0"/>
          <w:marTop w:val="40"/>
          <w:marBottom w:val="40"/>
          <w:divBdr>
            <w:top w:val="none" w:sz="0" w:space="0" w:color="auto"/>
            <w:left w:val="none" w:sz="0" w:space="0" w:color="auto"/>
            <w:bottom w:val="none" w:sz="0" w:space="0" w:color="auto"/>
            <w:right w:val="none" w:sz="0" w:space="0" w:color="auto"/>
          </w:divBdr>
        </w:div>
        <w:div w:id="1608272743">
          <w:marLeft w:val="446"/>
          <w:marRight w:val="0"/>
          <w:marTop w:val="40"/>
          <w:marBottom w:val="40"/>
          <w:divBdr>
            <w:top w:val="none" w:sz="0" w:space="0" w:color="auto"/>
            <w:left w:val="none" w:sz="0" w:space="0" w:color="auto"/>
            <w:bottom w:val="none" w:sz="0" w:space="0" w:color="auto"/>
            <w:right w:val="none" w:sz="0" w:space="0" w:color="auto"/>
          </w:divBdr>
        </w:div>
        <w:div w:id="1566524445">
          <w:marLeft w:val="446"/>
          <w:marRight w:val="0"/>
          <w:marTop w:val="40"/>
          <w:marBottom w:val="40"/>
          <w:divBdr>
            <w:top w:val="none" w:sz="0" w:space="0" w:color="auto"/>
            <w:left w:val="none" w:sz="0" w:space="0" w:color="auto"/>
            <w:bottom w:val="none" w:sz="0" w:space="0" w:color="auto"/>
            <w:right w:val="none" w:sz="0" w:space="0" w:color="auto"/>
          </w:divBdr>
        </w:div>
        <w:div w:id="1022130952">
          <w:marLeft w:val="446"/>
          <w:marRight w:val="0"/>
          <w:marTop w:val="40"/>
          <w:marBottom w:val="40"/>
          <w:divBdr>
            <w:top w:val="none" w:sz="0" w:space="0" w:color="auto"/>
            <w:left w:val="none" w:sz="0" w:space="0" w:color="auto"/>
            <w:bottom w:val="none" w:sz="0" w:space="0" w:color="auto"/>
            <w:right w:val="none" w:sz="0" w:space="0" w:color="auto"/>
          </w:divBdr>
        </w:div>
        <w:div w:id="1830242615">
          <w:marLeft w:val="446"/>
          <w:marRight w:val="0"/>
          <w:marTop w:val="40"/>
          <w:marBottom w:val="40"/>
          <w:divBdr>
            <w:top w:val="none" w:sz="0" w:space="0" w:color="auto"/>
            <w:left w:val="none" w:sz="0" w:space="0" w:color="auto"/>
            <w:bottom w:val="none" w:sz="0" w:space="0" w:color="auto"/>
            <w:right w:val="none" w:sz="0" w:space="0" w:color="auto"/>
          </w:divBdr>
        </w:div>
        <w:div w:id="921305278">
          <w:marLeft w:val="446"/>
          <w:marRight w:val="0"/>
          <w:marTop w:val="40"/>
          <w:marBottom w:val="40"/>
          <w:divBdr>
            <w:top w:val="none" w:sz="0" w:space="0" w:color="auto"/>
            <w:left w:val="none" w:sz="0" w:space="0" w:color="auto"/>
            <w:bottom w:val="none" w:sz="0" w:space="0" w:color="auto"/>
            <w:right w:val="none" w:sz="0" w:space="0" w:color="auto"/>
          </w:divBdr>
        </w:div>
        <w:div w:id="1138112866">
          <w:marLeft w:val="446"/>
          <w:marRight w:val="0"/>
          <w:marTop w:val="40"/>
          <w:marBottom w:val="40"/>
          <w:divBdr>
            <w:top w:val="none" w:sz="0" w:space="0" w:color="auto"/>
            <w:left w:val="none" w:sz="0" w:space="0" w:color="auto"/>
            <w:bottom w:val="none" w:sz="0" w:space="0" w:color="auto"/>
            <w:right w:val="none" w:sz="0" w:space="0" w:color="auto"/>
          </w:divBdr>
        </w:div>
        <w:div w:id="1794127948">
          <w:marLeft w:val="446"/>
          <w:marRight w:val="0"/>
          <w:marTop w:val="40"/>
          <w:marBottom w:val="40"/>
          <w:divBdr>
            <w:top w:val="none" w:sz="0" w:space="0" w:color="auto"/>
            <w:left w:val="none" w:sz="0" w:space="0" w:color="auto"/>
            <w:bottom w:val="none" w:sz="0" w:space="0" w:color="auto"/>
            <w:right w:val="none" w:sz="0" w:space="0" w:color="auto"/>
          </w:divBdr>
        </w:div>
        <w:div w:id="296959054">
          <w:marLeft w:val="446"/>
          <w:marRight w:val="0"/>
          <w:marTop w:val="40"/>
          <w:marBottom w:val="40"/>
          <w:divBdr>
            <w:top w:val="none" w:sz="0" w:space="0" w:color="auto"/>
            <w:left w:val="none" w:sz="0" w:space="0" w:color="auto"/>
            <w:bottom w:val="none" w:sz="0" w:space="0" w:color="auto"/>
            <w:right w:val="none" w:sz="0" w:space="0" w:color="auto"/>
          </w:divBdr>
        </w:div>
        <w:div w:id="481510225">
          <w:marLeft w:val="720"/>
          <w:marRight w:val="0"/>
          <w:marTop w:val="40"/>
          <w:marBottom w:val="40"/>
          <w:divBdr>
            <w:top w:val="none" w:sz="0" w:space="0" w:color="auto"/>
            <w:left w:val="none" w:sz="0" w:space="0" w:color="auto"/>
            <w:bottom w:val="none" w:sz="0" w:space="0" w:color="auto"/>
            <w:right w:val="none" w:sz="0" w:space="0" w:color="auto"/>
          </w:divBdr>
        </w:div>
        <w:div w:id="188181637">
          <w:marLeft w:val="720"/>
          <w:marRight w:val="0"/>
          <w:marTop w:val="40"/>
          <w:marBottom w:val="40"/>
          <w:divBdr>
            <w:top w:val="none" w:sz="0" w:space="0" w:color="auto"/>
            <w:left w:val="none" w:sz="0" w:space="0" w:color="auto"/>
            <w:bottom w:val="none" w:sz="0" w:space="0" w:color="auto"/>
            <w:right w:val="none" w:sz="0" w:space="0" w:color="auto"/>
          </w:divBdr>
        </w:div>
      </w:divsChild>
    </w:div>
    <w:div w:id="1135098050">
      <w:bodyDiv w:val="1"/>
      <w:marLeft w:val="0"/>
      <w:marRight w:val="0"/>
      <w:marTop w:val="0"/>
      <w:marBottom w:val="0"/>
      <w:divBdr>
        <w:top w:val="none" w:sz="0" w:space="0" w:color="auto"/>
        <w:left w:val="none" w:sz="0" w:space="0" w:color="auto"/>
        <w:bottom w:val="none" w:sz="0" w:space="0" w:color="auto"/>
        <w:right w:val="none" w:sz="0" w:space="0" w:color="auto"/>
      </w:divBdr>
    </w:div>
    <w:div w:id="12266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synapse-energy.com"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lstice">
  <a:themeElements>
    <a:clrScheme name="Synapse2">
      <a:dk1>
        <a:sysClr val="windowText" lastClr="000000"/>
      </a:dk1>
      <a:lt1>
        <a:sysClr val="window" lastClr="FFFFFF"/>
      </a:lt1>
      <a:dk2>
        <a:srgbClr val="44546A"/>
      </a:dk2>
      <a:lt2>
        <a:srgbClr val="E7E6E6"/>
      </a:lt2>
      <a:accent1>
        <a:srgbClr val="143376"/>
      </a:accent1>
      <a:accent2>
        <a:srgbClr val="377FE7"/>
      </a:accent2>
      <a:accent3>
        <a:srgbClr val="F8AB48"/>
      </a:accent3>
      <a:accent4>
        <a:srgbClr val="EFF9FE"/>
      </a:accent4>
      <a:accent5>
        <a:srgbClr val="18224A"/>
      </a:accent5>
      <a:accent6>
        <a:srgbClr val="39C5A9"/>
      </a:accent6>
      <a:hlink>
        <a:srgbClr val="000000"/>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4b54f95a-c392-4915-b50c-618f44f3124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5F78587022F4419013A8A07848007E" ma:contentTypeVersion="1" ma:contentTypeDescription="Create a new document." ma:contentTypeScope="" ma:versionID="117763a7aba4069641c326733236adf9">
  <xsd:schema xmlns:xsd="http://www.w3.org/2001/XMLSchema" xmlns:xs="http://www.w3.org/2001/XMLSchema" xmlns:p="http://schemas.microsoft.com/office/2006/metadata/properties" xmlns:ns2="4b54f95a-c392-4915-b50c-618f44f31247" targetNamespace="http://schemas.microsoft.com/office/2006/metadata/properties" ma:root="true" ma:fieldsID="1fbff1f4a39622302fe098e13c6d823d" ns2:_="">
    <xsd:import namespace="4b54f95a-c392-4915-b50c-618f44f31247"/>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f95a-c392-4915-b50c-618f44f312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FillIn">
            <xsd:sequence>
              <xsd:element name="Value" maxOccurs="unbounded" minOccurs="0" nillable="true">
                <xsd:simpleType>
                  <xsd:union memberTypes="dms:Text">
                    <xsd:simpleType>
                      <xsd:restriction base="dms:Choice">
                        <xsd:enumeration value="Pre-review Notes"/>
                        <xsd:enumeration value="Completed Review Forms"/>
                        <xsd:enumeration value="Completed Review Notes"/>
                        <xsd:enumeration value="Planning"/>
                        <xsd:enumeration value="Analysis"/>
                        <xsd:enumeration value="Orientation Scheduling and Tracking"/>
                        <xsd:enumeration value="Orientation Materials"/>
                        <xsd:enumeration value="Orientation Process Planning"/>
                        <xsd:enumeration value="Consulting Skills"/>
                        <xsd:enumeration value="Newbie Buddy Program"/>
                        <xsd:enumeration value="Consulting Skills Training"/>
                        <xsd:enumeration value="Excel Training"/>
                        <xsd:enumeration value="First Day Schedule"/>
                        <xsd:enumeration value="Admin Logistics"/>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74A45-8102-4354-AADE-000DED634194}">
  <ds:schemaRefs>
    <ds:schemaRef ds:uri="http://schemas.openxmlformats.org/officeDocument/2006/bibliography"/>
  </ds:schemaRefs>
</ds:datastoreItem>
</file>

<file path=customXml/itemProps2.xml><?xml version="1.0" encoding="utf-8"?>
<ds:datastoreItem xmlns:ds="http://schemas.openxmlformats.org/officeDocument/2006/customXml" ds:itemID="{02AE2AD2-B799-4A1C-8236-73128000617D}">
  <ds:schemaRefs>
    <ds:schemaRef ds:uri="http://schemas.microsoft.com/office/2006/metadata/properties"/>
    <ds:schemaRef ds:uri="http://schemas.microsoft.com/office/infopath/2007/PartnerControls"/>
    <ds:schemaRef ds:uri="4b54f95a-c392-4915-b50c-618f44f31247"/>
  </ds:schemaRefs>
</ds:datastoreItem>
</file>

<file path=customXml/itemProps3.xml><?xml version="1.0" encoding="utf-8"?>
<ds:datastoreItem xmlns:ds="http://schemas.openxmlformats.org/officeDocument/2006/customXml" ds:itemID="{8C250632-A6C2-4490-86E6-C43900176DBC}">
  <ds:schemaRefs>
    <ds:schemaRef ds:uri="http://schemas.microsoft.com/sharepoint/v3/contenttype/forms"/>
  </ds:schemaRefs>
</ds:datastoreItem>
</file>

<file path=customXml/itemProps4.xml><?xml version="1.0" encoding="utf-8"?>
<ds:datastoreItem xmlns:ds="http://schemas.openxmlformats.org/officeDocument/2006/customXml" ds:itemID="{4869F1B6-BDD0-4595-8BD9-663F7ADBF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4f95a-c392-4915-b50c-618f44f31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5779</Words>
  <Characters>32942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Kuschner</dc:creator>
  <cp:lastModifiedBy>Laura Gonzalez</cp:lastModifiedBy>
  <cp:revision>2</cp:revision>
  <cp:lastPrinted>2013-04-05T16:59:00Z</cp:lastPrinted>
  <dcterms:created xsi:type="dcterms:W3CDTF">2025-04-24T18:36:00Z</dcterms:created>
  <dcterms:modified xsi:type="dcterms:W3CDTF">2025-04-24T18:36:00Z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0x010100695F78587022F4419013A8A07848007E</vt:lpwstr>
  </property>
  <property fmtid="{D5CDD505-2E9C-101B-9397-08002B2CF9AE}" pid="3" name="_DocHome">
    <vt:i4>1721343193</vt:i4>
  </property>
</Properties>
</file>